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20"/>
      </w:tblGrid>
      <w:tr>
        <w:tc>
          <w:tcPr>
            <w:tcW w:type="dxa" w:w="9764"/>
            <w:shd w:fill="063F37"/>
            <w:tcMar>
              <w:top w:w="540" w:type="dxa"/>
              <w:start w:w="520" w:type="dxa"/>
              <w:bottom w:w="540" w:type="dxa"/>
              <w:end w:w="520" w:type="dxa"/>
            </w:tcMar>
          </w:tcPr>
          <w:p>
            <w:pPr>
              <w:spacing w:after="600"/>
            </w:pPr>
            <w:r>
              <w:rPr>
                <w:rFonts w:ascii="Microsoft YaHei" w:hAnsi="Microsoft YaHei" w:eastAsia="Microsoft YaHei"/>
                <w:b/>
                <w:color w:val="75D9C4"/>
                <w:sz w:val="20"/>
              </w:rPr>
              <w:t>LONGTENG ONE  ·  OFFICIAL GUIDE</w:t>
            </w:r>
          </w:p>
          <w:p>
            <w:pPr>
              <w:spacing w:after="200"/>
            </w:pPr>
            <w:r>
              <w:rPr>
                <w:rFonts w:ascii="Microsoft YaHei" w:hAnsi="Microsoft YaHei" w:eastAsia="Microsoft YaHei"/>
                <w:b/>
                <w:color w:val="FFFFFF"/>
                <w:sz w:val="58"/>
              </w:rPr>
              <w:t>资本市场文档生产线使用手册</w:t>
            </w:r>
          </w:p>
          <w:p>
            <w:pPr>
              <w:spacing w:after="1320"/>
            </w:pPr>
            <w:r>
              <w:rPr>
                <w:rFonts w:ascii="Microsoft YaHei" w:hAnsi="Microsoft YaHei" w:eastAsia="Microsoft YaHei"/>
                <w:color w:val="D4EEE8"/>
                <w:sz w:val="26"/>
              </w:rPr>
              <w:t>七大行业模板、专业复核与企业交付流程</w:t>
            </w:r>
          </w:p>
          <w:p>
            <w:r>
              <w:rPr>
                <w:rFonts w:ascii="Microsoft YaHei" w:hAnsi="Microsoft YaHei" w:eastAsia="Microsoft YaHei"/>
                <w:b/>
                <w:color w:val="75D9C4"/>
                <w:sz w:val="18"/>
              </w:rPr>
              <w:t>适用对象</w:t>
            </w:r>
          </w:p>
          <w:p>
            <w:r>
              <w:rPr>
                <w:rFonts w:ascii="Microsoft YaHei" w:hAnsi="Microsoft YaHei" w:eastAsia="Microsoft YaHei"/>
                <w:color w:val="FFFFFF"/>
                <w:sz w:val="22"/>
              </w:rPr>
              <w:t>上市公司、券商、律师、会计师、评估师、基金/私募与咨询公司团队</w:t>
            </w:r>
          </w:p>
          <w:p>
            <w:pPr>
              <w:spacing w:before="560"/>
            </w:pPr>
            <w:r>
              <w:rPr>
                <w:rFonts w:ascii="Microsoft YaHei" w:hAnsi="Microsoft YaHei" w:eastAsia="Microsoft YaHei"/>
                <w:color w:val="B8DAD3"/>
                <w:sz w:val="18"/>
              </w:rPr>
              <w:t>V1.0  ·  发布日期 2026-08-21</w:t>
            </w:r>
          </w:p>
        </w:tc>
      </w:tr>
    </w:tbl>
    <w:p>
      <w:pPr>
        <w:spacing w:before="320"/>
        <w:jc w:val="right"/>
      </w:pPr>
      <w:r>
        <w:rPr>
          <w:rFonts w:ascii="Microsoft YaHei" w:hAnsi="Microsoft YaHei" w:eastAsia="Microsoft YaHei"/>
          <w:b/>
          <w:color w:val="087C68"/>
          <w:sz w:val="18"/>
        </w:rPr>
        <w:t>统一模型  ·  统一钱包  ·  统一生产  ·  统一服务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2"/>
      </w:tblGrid>
      <w:tr>
        <w:tc>
          <w:tcPr>
            <w:tcW w:type="dxa" w:w="9764"/>
            <w:shd w:fill="FFF5D9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B78620"/>
                <w:sz w:val="21"/>
              </w:rPr>
              <w:t>定位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color w:val="172B27"/>
                <w:sz w:val="19"/>
              </w:rPr>
              <w:t>本生产线用于快速形成结构化工作底稿、初稿和协作版本，不替代注册会计师、律师、保荐代表人、评估师、基金管理人等专业人员的判断、签字与法定责任。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目录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01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生产线全景</w:t>
      </w:r>
      <w:r>
        <w:rPr>
          <w:rFonts w:ascii="Microsoft YaHei" w:hAnsi="Microsoft YaHei" w:eastAsia="Microsoft YaHei"/>
          <w:color w:val="5F756F"/>
          <w:sz w:val="18"/>
        </w:rPr>
        <w:t xml:space="preserve">  从资料准备到交付归档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02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七大行业专区</w:t>
      </w:r>
      <w:r>
        <w:rPr>
          <w:rFonts w:ascii="Microsoft YaHei" w:hAnsi="Microsoft YaHei" w:eastAsia="Microsoft YaHei"/>
          <w:color w:val="5F756F"/>
          <w:sz w:val="18"/>
        </w:rPr>
        <w:t xml:space="preserve">  模板选择与典型成果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03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标准操作流程</w:t>
      </w:r>
      <w:r>
        <w:rPr>
          <w:rFonts w:ascii="Microsoft YaHei" w:hAnsi="Microsoft YaHei" w:eastAsia="Microsoft YaHei"/>
          <w:color w:val="5F756F"/>
          <w:sz w:val="18"/>
        </w:rPr>
        <w:t xml:space="preserve">  六步生成法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04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输入资料规范</w:t>
      </w:r>
      <w:r>
        <w:rPr>
          <w:rFonts w:ascii="Microsoft YaHei" w:hAnsi="Microsoft YaHei" w:eastAsia="Microsoft YaHei"/>
          <w:color w:val="5F756F"/>
          <w:sz w:val="18"/>
        </w:rPr>
        <w:t xml:space="preserve">  事实、数字、假设与敏感信息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05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专业复核清单</w:t>
      </w:r>
      <w:r>
        <w:rPr>
          <w:rFonts w:ascii="Microsoft YaHei" w:hAnsi="Microsoft YaHei" w:eastAsia="Microsoft YaHei"/>
          <w:color w:val="5F756F"/>
          <w:sz w:val="18"/>
        </w:rPr>
        <w:t xml:space="preserve">  五道质量门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06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企业协作与权限</w:t>
      </w:r>
      <w:r>
        <w:rPr>
          <w:rFonts w:ascii="Microsoft YaHei" w:hAnsi="Microsoft YaHei" w:eastAsia="Microsoft YaHei"/>
          <w:color w:val="5F756F"/>
          <w:sz w:val="18"/>
        </w:rPr>
        <w:t xml:space="preserve">  角色分工、版本和留痕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07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高质量示例</w:t>
      </w:r>
      <w:r>
        <w:rPr>
          <w:rFonts w:ascii="Microsoft YaHei" w:hAnsi="Microsoft YaHei" w:eastAsia="Microsoft YaHei"/>
          <w:color w:val="5F756F"/>
          <w:sz w:val="18"/>
        </w:rPr>
        <w:t xml:space="preserve">  提示语、异常检测和 PPT 生成</w:t>
      </w:r>
    </w:p>
    <w:p>
      <w:r>
        <w:br w:type="page"/>
      </w:r>
    </w:p>
    <w:p>
      <w:pPr>
        <w:pStyle w:val="Heading1"/>
        <w:keepNext/>
      </w:pPr>
      <w:r>
        <w:t>1. 生产线全景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82"/>
        <w:gridCol w:w="4882"/>
      </w:tblGrid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01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选择业务场景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在 AI 应用工坊进入“龙腾壹号资本市场模板”，选择行业与具体模板。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02</w:t>
            </w:r>
          </w:p>
        </w:tc>
        <w:tc>
          <w:tcPr>
            <w:tcW w:type="dxa" w:w="8496"/>
            <w:shd w:fill="F4F7F6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准备资料包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整理事实材料、财务数据、报告期、口径、假设、引用来源与授权状态。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03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结构化输入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填写项目名称、机构名称、背景、关键数据和输出格式，明确待核实项。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04</w:t>
            </w:r>
          </w:p>
        </w:tc>
        <w:tc>
          <w:tcPr>
            <w:tcW w:type="dxa" w:w="8496"/>
            <w:shd w:fill="F4F7F6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生成初稿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平台调用大模型完成结构、表格和专业语言初稿，并生成 Word、Excel 或 PPTX。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05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专业复核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按事实、数字、法规、引用、权限五道质量门逐项复核。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06</w:t>
            </w:r>
          </w:p>
        </w:tc>
        <w:tc>
          <w:tcPr>
            <w:tcW w:type="dxa" w:w="8496"/>
            <w:shd w:fill="F4F7F6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定稿归档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由项目负责人审批、编辑定稿、对外发布，并保存输入资料和版本记录。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2"/>
      </w:tblGrid>
      <w:tr>
        <w:tc>
          <w:tcPr>
            <w:tcW w:type="dxa" w:w="9764"/>
            <w:shd w:fill="DFF5EF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087C68"/>
                <w:sz w:val="21"/>
              </w:rPr>
              <w:t>建议先小样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color w:val="172B27"/>
                <w:sz w:val="19"/>
              </w:rPr>
              <w:t>首次使用某模板时，先选一个章节或一个报告期生成小样。确认结构、口径和专业深度后，再扩展为完整项目。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keepNext/>
      </w:pPr>
      <w:r>
        <w:t>2. 七大行业专区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1512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专区</w:t>
            </w:r>
          </w:p>
        </w:tc>
        <w:tc>
          <w:tcPr>
            <w:tcW w:type="dxa" w:w="2880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优先模板</w:t>
            </w:r>
          </w:p>
        </w:tc>
        <w:tc>
          <w:tcPr>
            <w:tcW w:type="dxa" w:w="4968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可扩展成果</w:t>
            </w:r>
          </w:p>
        </w:tc>
      </w:tr>
      <w:tr>
        <w:tc>
          <w:tcPr>
            <w:tcW w:type="dxa" w:w="151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上市公司</w:t>
            </w:r>
          </w:p>
        </w:tc>
        <w:tc>
          <w:tcPr>
            <w:tcW w:type="dxa" w:w="28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信披合规清单、董秘问答库</w:t>
            </w:r>
          </w:p>
        </w:tc>
        <w:tc>
          <w:tcPr>
            <w:tcW w:type="dxa" w:w="496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财报异常检测、业绩说明会、股权激励、合并报表、现金流量表</w:t>
            </w:r>
          </w:p>
        </w:tc>
      </w:tr>
      <w:tr>
        <w:tc>
          <w:tcPr>
            <w:tcW w:type="dxa" w:w="151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券商</w:t>
            </w:r>
          </w:p>
        </w:tc>
        <w:tc>
          <w:tcPr>
            <w:tcW w:type="dxa" w:w="288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IPO 尽调、行业研报</w:t>
            </w:r>
          </w:p>
        </w:tc>
        <w:tc>
          <w:tcPr>
            <w:tcW w:type="dxa" w:w="496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问询函回复、底稿、招股书初稿、重组、定增、并购</w:t>
            </w:r>
          </w:p>
        </w:tc>
      </w:tr>
      <w:tr>
        <w:tc>
          <w:tcPr>
            <w:tcW w:type="dxa" w:w="151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律师</w:t>
            </w:r>
          </w:p>
        </w:tc>
        <w:tc>
          <w:tcPr>
            <w:tcW w:type="dxa" w:w="28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IPO 法律尽调</w:t>
            </w:r>
          </w:p>
        </w:tc>
        <w:tc>
          <w:tcPr>
            <w:tcW w:type="dxa" w:w="496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合同审查、诉讼文书、IPO/重组/定增/并购法律意见书</w:t>
            </w:r>
          </w:p>
        </w:tc>
      </w:tr>
      <w:tr>
        <w:tc>
          <w:tcPr>
            <w:tcW w:type="dxa" w:w="151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会计师</w:t>
            </w:r>
          </w:p>
        </w:tc>
        <w:tc>
          <w:tcPr>
            <w:tcW w:type="dxa" w:w="288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ESG 报告框架</w:t>
            </w:r>
          </w:p>
        </w:tc>
        <w:tc>
          <w:tcPr>
            <w:tcW w:type="dxa" w:w="496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审计底稿、FDD、函证、盘点、减值、尽调与审计报告</w:t>
            </w:r>
          </w:p>
        </w:tc>
      </w:tr>
      <w:tr>
        <w:tc>
          <w:tcPr>
            <w:tcW w:type="dxa" w:w="151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评估师</w:t>
            </w:r>
          </w:p>
        </w:tc>
        <w:tc>
          <w:tcPr>
            <w:tcW w:type="dxa" w:w="28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DCF 估值模型</w:t>
            </w:r>
          </w:p>
        </w:tc>
        <w:tc>
          <w:tcPr>
            <w:tcW w:type="dxa" w:w="496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资产评估报告、商誉减值测试</w:t>
            </w:r>
          </w:p>
        </w:tc>
      </w:tr>
      <w:tr>
        <w:tc>
          <w:tcPr>
            <w:tcW w:type="dxa" w:w="151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基金/私募</w:t>
            </w:r>
          </w:p>
        </w:tc>
        <w:tc>
          <w:tcPr>
            <w:tcW w:type="dxa" w:w="288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IC 投资备忘录、DDQ</w:t>
            </w:r>
          </w:p>
        </w:tc>
        <w:tc>
          <w:tcPr>
            <w:tcW w:type="dxa" w:w="496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LP 月报、PPM、投后跟踪</w:t>
            </w:r>
          </w:p>
        </w:tc>
      </w:tr>
      <w:tr>
        <w:tc>
          <w:tcPr>
            <w:tcW w:type="dxa" w:w="151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咨询公司</w:t>
            </w:r>
          </w:p>
        </w:tc>
        <w:tc>
          <w:tcPr>
            <w:tcW w:type="dxa" w:w="28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战略咨询、行业研究</w:t>
            </w:r>
          </w:p>
        </w:tc>
        <w:tc>
          <w:tcPr>
            <w:tcW w:type="dxa" w:w="496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CDD、访谈纪要、PPT deck、对标分析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3. 标准操作流程</w:t>
      </w:r>
    </w:p>
    <w:p>
      <w:pPr>
        <w:pStyle w:val="Heading2"/>
        <w:keepNext/>
      </w:pPr>
      <w:r>
        <w:t>3.1 选模板</w:t>
      </w:r>
    </w:p>
    <w:p>
      <w:pPr>
        <w:pStyle w:val="ListBullet"/>
      </w:pPr>
      <w:r>
        <w:rPr>
          <w:rFonts w:ascii="Microsoft YaHei" w:hAnsi="Microsoft YaHei" w:eastAsia="Microsoft YaHei"/>
        </w:rPr>
        <w:t>优先从星标模板开始，它们最适合验证平台结构化生成能力。</w:t>
      </w:r>
    </w:p>
    <w:p>
      <w:pPr>
        <w:pStyle w:val="ListBullet"/>
      </w:pPr>
      <w:r>
        <w:rPr>
          <w:rFonts w:ascii="Microsoft YaHei" w:hAnsi="Microsoft YaHei" w:eastAsia="Microsoft YaHei"/>
        </w:rPr>
        <w:t>模板名称相近时，以最终交付物和责任主体为准，不要仅按关键词选择。</w:t>
      </w:r>
    </w:p>
    <w:p>
      <w:pPr>
        <w:pStyle w:val="ListBullet"/>
      </w:pPr>
      <w:r>
        <w:rPr>
          <w:rFonts w:ascii="Microsoft YaHei" w:hAnsi="Microsoft YaHei" w:eastAsia="Microsoft YaHei"/>
        </w:rPr>
        <w:t>同一项目可先生成清单，再生成正文；清单负责控风险，正文负责提效率。</w:t>
      </w:r>
    </w:p>
    <w:p>
      <w:pPr>
        <w:pStyle w:val="Heading2"/>
        <w:keepNext/>
      </w:pPr>
      <w:r>
        <w:t>3.2 填输入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1584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输入项</w:t>
            </w:r>
          </w:p>
        </w:tc>
        <w:tc>
          <w:tcPr>
            <w:tcW w:type="dxa" w:w="4680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合格写法</w:t>
            </w:r>
          </w:p>
        </w:tc>
        <w:tc>
          <w:tcPr>
            <w:tcW w:type="dxa" w:w="3096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不合格写法</w:t>
            </w:r>
          </w:p>
        </w:tc>
      </w:tr>
      <w:tr>
        <w:tc>
          <w:tcPr>
            <w:tcW w:type="dxa" w:w="15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报告期</w:t>
            </w:r>
          </w:p>
        </w:tc>
        <w:tc>
          <w:tcPr>
            <w:tcW w:type="dxa" w:w="46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2025 年度及 2026 年 1-6 月</w:t>
            </w:r>
          </w:p>
        </w:tc>
        <w:tc>
          <w:tcPr>
            <w:tcW w:type="dxa" w:w="309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最近一期</w:t>
            </w:r>
          </w:p>
        </w:tc>
      </w:tr>
      <w:tr>
        <w:tc>
          <w:tcPr>
            <w:tcW w:type="dxa" w:w="158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事实</w:t>
            </w:r>
          </w:p>
        </w:tc>
        <w:tc>
          <w:tcPr>
            <w:tcW w:type="dxa" w:w="468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依据已审计财报，2025 年收入为 X 元</w:t>
            </w:r>
          </w:p>
        </w:tc>
        <w:tc>
          <w:tcPr>
            <w:tcW w:type="dxa" w:w="309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公司增长很好</w:t>
            </w:r>
          </w:p>
        </w:tc>
      </w:tr>
      <w:tr>
        <w:tc>
          <w:tcPr>
            <w:tcW w:type="dxa" w:w="15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假设</w:t>
            </w:r>
          </w:p>
        </w:tc>
        <w:tc>
          <w:tcPr>
            <w:tcW w:type="dxa" w:w="46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折现率 9%，永续增长率 2%，仅用于敏感性测试</w:t>
            </w:r>
          </w:p>
        </w:tc>
        <w:tc>
          <w:tcPr>
            <w:tcW w:type="dxa" w:w="309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按合理参数估值</w:t>
            </w:r>
          </w:p>
        </w:tc>
      </w:tr>
      <w:tr>
        <w:tc>
          <w:tcPr>
            <w:tcW w:type="dxa" w:w="158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范围</w:t>
            </w:r>
          </w:p>
        </w:tc>
        <w:tc>
          <w:tcPr>
            <w:tcW w:type="dxa" w:w="468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只生成第三章业务与技术，不含法律意见</w:t>
            </w:r>
          </w:p>
        </w:tc>
        <w:tc>
          <w:tcPr>
            <w:tcW w:type="dxa" w:w="309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写一份招股书</w:t>
            </w:r>
          </w:p>
        </w:tc>
      </w:tr>
      <w:tr>
        <w:tc>
          <w:tcPr>
            <w:tcW w:type="dxa" w:w="15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待核实</w:t>
            </w:r>
          </w:p>
        </w:tc>
        <w:tc>
          <w:tcPr>
            <w:tcW w:type="dxa" w:w="46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关联方名单、重大合同履约状态待项目组确认</w:t>
            </w:r>
          </w:p>
        </w:tc>
        <w:tc>
          <w:tcPr>
            <w:tcW w:type="dxa" w:w="309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无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3.3 选格式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1440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格式</w:t>
            </w:r>
          </w:p>
        </w:tc>
        <w:tc>
          <w:tcPr>
            <w:tcW w:type="dxa" w:w="4032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适合成果</w:t>
            </w:r>
          </w:p>
        </w:tc>
        <w:tc>
          <w:tcPr>
            <w:tcW w:type="dxa" w:w="3888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交付前检查</w:t>
            </w:r>
          </w:p>
        </w:tc>
      </w:tr>
      <w:tr>
        <w:tc>
          <w:tcPr>
            <w:tcW w:type="dxa" w:w="144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Word</w:t>
            </w:r>
          </w:p>
        </w:tc>
        <w:tc>
          <w:tcPr>
            <w:tcW w:type="dxa" w:w="403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报告、清单、法律/审计/咨询初稿</w:t>
            </w:r>
          </w:p>
        </w:tc>
        <w:tc>
          <w:tcPr>
            <w:tcW w:type="dxa" w:w="388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标题层级、编号、引用、页眉页脚</w:t>
            </w:r>
          </w:p>
        </w:tc>
      </w:tr>
      <w:tr>
        <w:tc>
          <w:tcPr>
            <w:tcW w:type="dxa" w:w="144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Excel</w:t>
            </w:r>
          </w:p>
        </w:tc>
        <w:tc>
          <w:tcPr>
            <w:tcW w:type="dxa" w:w="403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DCF、异常检测、清单、数据底稿</w:t>
            </w:r>
          </w:p>
        </w:tc>
        <w:tc>
          <w:tcPr>
            <w:tcW w:type="dxa" w:w="388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公式、链接、口径、单位、勾稽关系</w:t>
            </w:r>
          </w:p>
        </w:tc>
      </w:tr>
      <w:tr>
        <w:tc>
          <w:tcPr>
            <w:tcW w:type="dxa" w:w="144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PPTX</w:t>
            </w:r>
          </w:p>
        </w:tc>
        <w:tc>
          <w:tcPr>
            <w:tcW w:type="dxa" w:w="403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业绩说明会、投委会、咨询汇报</w:t>
            </w:r>
          </w:p>
        </w:tc>
        <w:tc>
          <w:tcPr>
            <w:tcW w:type="dxa" w:w="388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每页结论、图表数据、讲述顺序和保密标识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4. 输入资料规范</w:t>
      </w:r>
    </w:p>
    <w:p>
      <w:pPr>
        <w:pStyle w:val="Heading2"/>
        <w:keepNext/>
      </w:pPr>
      <w:r>
        <w:t>4.1 推荐资料包结构</w:t>
      </w:r>
    </w:p>
    <w:p>
      <w:pPr>
        <w:pStyle w:val="ListBullet"/>
      </w:pPr>
      <w:r>
        <w:rPr>
          <w:rFonts w:ascii="Microsoft YaHei" w:hAnsi="Microsoft YaHei" w:eastAsia="Microsoft YaHei"/>
        </w:rPr>
        <w:t>00_项目说明：目标、范围、报告期、责任人、截止日期和保密级别。</w:t>
      </w:r>
    </w:p>
    <w:p>
      <w:pPr>
        <w:pStyle w:val="ListBullet"/>
      </w:pPr>
      <w:r>
        <w:rPr>
          <w:rFonts w:ascii="Microsoft YaHei" w:hAnsi="Microsoft YaHei" w:eastAsia="Microsoft YaHei"/>
        </w:rPr>
        <w:t>01_事实资料：工商、业务、合同、制度、公告、访谈纪要和公开来源。</w:t>
      </w:r>
    </w:p>
    <w:p>
      <w:pPr>
        <w:pStyle w:val="ListBullet"/>
      </w:pPr>
      <w:r>
        <w:rPr>
          <w:rFonts w:ascii="Microsoft YaHei" w:hAnsi="Microsoft YaHei" w:eastAsia="Microsoft YaHei"/>
        </w:rPr>
        <w:t>02_财务数据：审计报表、科目余额、管理报表、预测和口径说明。</w:t>
      </w:r>
    </w:p>
    <w:p>
      <w:pPr>
        <w:pStyle w:val="ListBullet"/>
      </w:pPr>
      <w:r>
        <w:rPr>
          <w:rFonts w:ascii="Microsoft YaHei" w:hAnsi="Microsoft YaHei" w:eastAsia="Microsoft YaHei"/>
        </w:rPr>
        <w:t>03_规则依据：适用法规、交易所规则、会计准则、行业标准和内部政策。</w:t>
      </w:r>
    </w:p>
    <w:p>
      <w:pPr>
        <w:pStyle w:val="ListBullet"/>
      </w:pPr>
      <w:r>
        <w:rPr>
          <w:rFonts w:ascii="Microsoft YaHei" w:hAnsi="Microsoft YaHei" w:eastAsia="Microsoft YaHei"/>
        </w:rPr>
        <w:t>04_待核实事项：缺失资料、冲突数据、管理层解释和责任人。</w:t>
      </w:r>
    </w:p>
    <w:p>
      <w:pPr>
        <w:pStyle w:val="ListBullet"/>
      </w:pPr>
      <w:r>
        <w:rPr>
          <w:rFonts w:ascii="Microsoft YaHei" w:hAnsi="Microsoft YaHei" w:eastAsia="Microsoft YaHei"/>
        </w:rPr>
        <w:t>05_输出与版本：AI 初稿、复核稿、审批稿和最终交付版。</w:t>
      </w:r>
    </w:p>
    <w:p>
      <w:pPr>
        <w:pStyle w:val="Heading2"/>
        <w:keepNext/>
      </w:pPr>
      <w:r>
        <w:t>4.2 敏感资料处理</w:t>
      </w:r>
    </w:p>
    <w:p>
      <w:pPr>
        <w:pStyle w:val="ListBullet"/>
      </w:pPr>
      <w:r>
        <w:rPr>
          <w:rFonts w:ascii="Microsoft YaHei" w:hAnsi="Microsoft YaHei" w:eastAsia="Microsoft YaHei"/>
        </w:rPr>
        <w:t>未公开重大信息、个人信息、底稿和客户商业秘密，仅在获授权、最小必要和受控环境下处理。</w:t>
      </w:r>
    </w:p>
    <w:p>
      <w:pPr>
        <w:pStyle w:val="ListBullet"/>
      </w:pPr>
      <w:r>
        <w:rPr>
          <w:rFonts w:ascii="Microsoft YaHei" w:hAnsi="Microsoft YaHei" w:eastAsia="Microsoft YaHei"/>
        </w:rPr>
        <w:t>输入前去除完整身份证号、银行卡号、私人联系方式、完整密钥和无关个人信息。</w:t>
      </w:r>
    </w:p>
    <w:p>
      <w:pPr>
        <w:pStyle w:val="ListBullet"/>
      </w:pPr>
      <w:r>
        <w:rPr>
          <w:rFonts w:ascii="Microsoft YaHei" w:hAnsi="Microsoft YaHei" w:eastAsia="Microsoft YaHei"/>
        </w:rPr>
        <w:t>公开资料仍应保留来源和截止日期；AI 不能代替原始证据。</w:t>
      </w:r>
    </w:p>
    <w:p>
      <w:pPr>
        <w:pStyle w:val="ListBullet"/>
      </w:pPr>
      <w:r>
        <w:rPr>
          <w:rFonts w:ascii="Microsoft YaHei" w:hAnsi="Microsoft YaHei" w:eastAsia="Microsoft YaHei"/>
        </w:rPr>
        <w:t>对外分享前检查文件属性、批注、修订记录、隐藏工作表和元数据。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2"/>
      </w:tblGrid>
      <w:tr>
        <w:tc>
          <w:tcPr>
            <w:tcW w:type="dxa" w:w="9764"/>
            <w:shd w:fill="FBE9E7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A63A36"/>
                <w:sz w:val="21"/>
              </w:rPr>
              <w:t>禁止事项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color w:val="172B27"/>
                <w:sz w:val="19"/>
              </w:rPr>
              <w:t>不得把 AI 生成的虚构事实、法规条文、审计证据、访谈结论或估值参数包装成已验证事实；不得绕过企业权限向无关人员分发项目资料。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5. 五道专业质量门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1440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质量门</w:t>
            </w:r>
          </w:p>
        </w:tc>
        <w:tc>
          <w:tcPr>
            <w:tcW w:type="dxa" w:w="5256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检查重点</w:t>
            </w:r>
          </w:p>
        </w:tc>
        <w:tc>
          <w:tcPr>
            <w:tcW w:type="dxa" w:w="2664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责任人</w:t>
            </w:r>
          </w:p>
        </w:tc>
      </w:tr>
      <w:tr>
        <w:tc>
          <w:tcPr>
            <w:tcW w:type="dxa" w:w="144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事实门</w:t>
            </w:r>
          </w:p>
        </w:tc>
        <w:tc>
          <w:tcPr>
            <w:tcW w:type="dxa" w:w="525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主体、日期、业务、合同、事件与公开信息是否准确</w:t>
            </w:r>
          </w:p>
        </w:tc>
        <w:tc>
          <w:tcPr>
            <w:tcW w:type="dxa" w:w="266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项目经办人</w:t>
            </w:r>
          </w:p>
        </w:tc>
      </w:tr>
      <w:tr>
        <w:tc>
          <w:tcPr>
            <w:tcW w:type="dxa" w:w="144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数字门</w:t>
            </w:r>
          </w:p>
        </w:tc>
        <w:tc>
          <w:tcPr>
            <w:tcW w:type="dxa" w:w="525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金额、单位、百分比、公式、勾稽和报告期是否一致</w:t>
            </w:r>
          </w:p>
        </w:tc>
        <w:tc>
          <w:tcPr>
            <w:tcW w:type="dxa" w:w="266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财务/估值人员</w:t>
            </w:r>
          </w:p>
        </w:tc>
      </w:tr>
      <w:tr>
        <w:tc>
          <w:tcPr>
            <w:tcW w:type="dxa" w:w="144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规则门</w:t>
            </w:r>
          </w:p>
        </w:tc>
        <w:tc>
          <w:tcPr>
            <w:tcW w:type="dxa" w:w="525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法规、准则、交易所规则和适用版本是否正确</w:t>
            </w:r>
          </w:p>
        </w:tc>
        <w:tc>
          <w:tcPr>
            <w:tcW w:type="dxa" w:w="266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律师/会计师/券商专业人员</w:t>
            </w:r>
          </w:p>
        </w:tc>
      </w:tr>
      <w:tr>
        <w:tc>
          <w:tcPr>
            <w:tcW w:type="dxa" w:w="144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引用门</w:t>
            </w:r>
          </w:p>
        </w:tc>
        <w:tc>
          <w:tcPr>
            <w:tcW w:type="dxa" w:w="525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每项关键结论能否追溯到原始资料或可靠公开来源</w:t>
            </w:r>
          </w:p>
        </w:tc>
        <w:tc>
          <w:tcPr>
            <w:tcW w:type="dxa" w:w="266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复核人</w:t>
            </w:r>
          </w:p>
        </w:tc>
      </w:tr>
      <w:tr>
        <w:tc>
          <w:tcPr>
            <w:tcW w:type="dxa" w:w="144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权限门</w:t>
            </w:r>
          </w:p>
        </w:tc>
        <w:tc>
          <w:tcPr>
            <w:tcW w:type="dxa" w:w="525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是否含敏感信息、是否经过必要审批、接收方是否有权限</w:t>
            </w:r>
          </w:p>
        </w:tc>
        <w:tc>
          <w:tcPr>
            <w:tcW w:type="dxa" w:w="266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项目负责人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5.1 最终放行条件</w:t>
      </w:r>
    </w:p>
    <w:p>
      <w:pPr>
        <w:pStyle w:val="ListBullet"/>
      </w:pPr>
      <w:r>
        <w:rPr>
          <w:rFonts w:ascii="Microsoft YaHei" w:hAnsi="Microsoft YaHei" w:eastAsia="Microsoft YaHei"/>
        </w:rPr>
        <w:t>所有待核实项已关闭，或在文档中明确保留并指定责任人。</w:t>
      </w:r>
    </w:p>
    <w:p>
      <w:pPr>
        <w:pStyle w:val="ListBullet"/>
      </w:pPr>
      <w:r>
        <w:rPr>
          <w:rFonts w:ascii="Microsoft YaHei" w:hAnsi="Microsoft YaHei" w:eastAsia="Microsoft YaHei"/>
        </w:rPr>
        <w:t>关键数字已与原始数据勾稽，Excel 公式已抽查或全量复核。</w:t>
      </w:r>
    </w:p>
    <w:p>
      <w:pPr>
        <w:pStyle w:val="ListBullet"/>
      </w:pPr>
      <w:r>
        <w:rPr>
          <w:rFonts w:ascii="Microsoft YaHei" w:hAnsi="Microsoft YaHei" w:eastAsia="Microsoft YaHei"/>
        </w:rPr>
        <w:t>法规和准则引用已由专业人员核对最新有效版本。</w:t>
      </w:r>
    </w:p>
    <w:p>
      <w:pPr>
        <w:pStyle w:val="ListBullet"/>
      </w:pPr>
      <w:r>
        <w:rPr>
          <w:rFonts w:ascii="Microsoft YaHei" w:hAnsi="Microsoft YaHei" w:eastAsia="Microsoft YaHei"/>
        </w:rPr>
        <w:t>文档中的 AI 痕迹、占位符、虚构示例和系统提示已清除。</w:t>
      </w:r>
    </w:p>
    <w:p>
      <w:pPr>
        <w:pStyle w:val="ListBullet"/>
      </w:pPr>
      <w:r>
        <w:rPr>
          <w:rFonts w:ascii="Microsoft YaHei" w:hAnsi="Microsoft YaHei" w:eastAsia="Microsoft YaHei"/>
        </w:rPr>
        <w:t>输出文件已标明版本、日期、保密等级和审批状态。</w:t>
      </w:r>
    </w:p>
    <w:p>
      <w:pPr>
        <w:pStyle w:val="Heading1"/>
        <w:keepNext/>
      </w:pPr>
      <w:r>
        <w:t>6. 企业协作与权限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1656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3096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建议角色</w:t>
            </w:r>
          </w:p>
        </w:tc>
        <w:tc>
          <w:tcPr>
            <w:tcW w:type="dxa" w:w="4608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系统动作</w:t>
            </w:r>
          </w:p>
        </w:tc>
      </w:tr>
      <w:tr>
        <w:tc>
          <w:tcPr>
            <w:tcW w:type="dxa" w:w="165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资料准备</w:t>
            </w:r>
          </w:p>
        </w:tc>
        <w:tc>
          <w:tcPr>
            <w:tcW w:type="dxa" w:w="309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创作者 + 业务负责人</w:t>
            </w:r>
          </w:p>
        </w:tc>
        <w:tc>
          <w:tcPr>
            <w:tcW w:type="dxa" w:w="460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上传授权资料，填写口径与范围</w:t>
            </w:r>
          </w:p>
        </w:tc>
      </w:tr>
      <w:tr>
        <w:tc>
          <w:tcPr>
            <w:tcW w:type="dxa" w:w="165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生成初稿</w:t>
            </w:r>
          </w:p>
        </w:tc>
        <w:tc>
          <w:tcPr>
            <w:tcW w:type="dxa" w:w="309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创作者</w:t>
            </w:r>
          </w:p>
        </w:tc>
        <w:tc>
          <w:tcPr>
            <w:tcW w:type="dxa" w:w="460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选择模板、格式和生成参数</w:t>
            </w:r>
          </w:p>
        </w:tc>
      </w:tr>
      <w:tr>
        <w:tc>
          <w:tcPr>
            <w:tcW w:type="dxa" w:w="165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专业复核</w:t>
            </w:r>
          </w:p>
        </w:tc>
        <w:tc>
          <w:tcPr>
            <w:tcW w:type="dxa" w:w="309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审核员 + 专业负责人</w:t>
            </w:r>
          </w:p>
        </w:tc>
        <w:tc>
          <w:tcPr>
            <w:tcW w:type="dxa" w:w="460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标记问题、补资料、重新生成局部内容</w:t>
            </w:r>
          </w:p>
        </w:tc>
      </w:tr>
      <w:tr>
        <w:tc>
          <w:tcPr>
            <w:tcW w:type="dxa" w:w="165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费用与预算</w:t>
            </w:r>
          </w:p>
        </w:tc>
        <w:tc>
          <w:tcPr>
            <w:tcW w:type="dxa" w:w="309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财务</w:t>
            </w:r>
          </w:p>
        </w:tc>
        <w:tc>
          <w:tcPr>
            <w:tcW w:type="dxa" w:w="460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查看钱包、预算、月度账单和异常消费</w:t>
            </w:r>
          </w:p>
        </w:tc>
      </w:tr>
      <w:tr>
        <w:tc>
          <w:tcPr>
            <w:tcW w:type="dxa" w:w="165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审批交付</w:t>
            </w:r>
          </w:p>
        </w:tc>
        <w:tc>
          <w:tcPr>
            <w:tcW w:type="dxa" w:w="309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所有者/项目负责人</w:t>
            </w:r>
          </w:p>
        </w:tc>
        <w:tc>
          <w:tcPr>
            <w:tcW w:type="dxa" w:w="460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确认版本、权限、对外使用范围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2"/>
      </w:tblGrid>
      <w:tr>
        <w:tc>
          <w:tcPr>
            <w:tcW w:type="dxa" w:w="9764"/>
            <w:shd w:fill="DFF5EF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087C68"/>
                <w:sz w:val="21"/>
              </w:rPr>
              <w:t>企业所有者负责加人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color w:val="172B27"/>
                <w:sz w:val="19"/>
              </w:rPr>
              <w:t>企业成员不能自行进入组织。所有者或管理员通过“企业成员”发出邀请，并按最小权限分配所有者、管理员、财务、审核员、创作者或查看者角色。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7. 高质量生成示例</w:t>
      </w:r>
    </w:p>
    <w:p>
      <w:pPr>
        <w:pStyle w:val="Heading2"/>
        <w:keepNext/>
      </w:pPr>
      <w:r>
        <w:t>7.1 财报异常检测</w:t>
      </w:r>
    </w:p>
    <w:p>
      <w:r>
        <w:rPr>
          <w:rFonts w:ascii="Microsoft YaHei" w:hAnsi="Microsoft YaHei" w:eastAsia="Microsoft YaHei"/>
        </w:rPr>
        <w:t>示例输入：请基于 2024 年、2025 年及 2026 年上半年财务数据，按收入、毛利率、应收账款、经营现金流、存货和非经常性损益六个维度检测异常。所有结论必须列出计算式、比较基准、数据来源和待管理层解释问题；不得把相关性描述为因果。</w:t>
      </w:r>
    </w:p>
    <w:p>
      <w:pPr>
        <w:pStyle w:val="Heading2"/>
        <w:keepNext/>
      </w:pPr>
      <w:r>
        <w:t>7.2 IPO 尽调清单</w:t>
      </w:r>
    </w:p>
    <w:p>
      <w:r>
        <w:rPr>
          <w:rFonts w:ascii="Microsoft YaHei" w:hAnsi="Microsoft YaHei" w:eastAsia="Microsoft YaHei"/>
        </w:rPr>
        <w:t>示例输入：请为制造业拟上市公司生成业务与技术尽调清单，覆盖主要产品、收入模式、前五大客户供应商、产能利用、核心技术、知识产权、环保与安全生产。按“资料、访谈、核查程序、风险信号、责任人”五列输出，并标记首次申报前必须关闭的事项。</w:t>
      </w:r>
    </w:p>
    <w:p>
      <w:pPr>
        <w:pStyle w:val="Heading2"/>
        <w:keepNext/>
      </w:pPr>
      <w:r>
        <w:t>7.3 咨询汇报 PPT</w:t>
      </w:r>
    </w:p>
    <w:p>
      <w:r>
        <w:rPr>
          <w:rFonts w:ascii="Microsoft YaHei" w:hAnsi="Microsoft YaHei" w:eastAsia="Microsoft YaHei"/>
        </w:rPr>
        <w:t>示例输入：请为董事会生成 12 页战略汇报，结论是未来两年应优先发展高毛利企业客户。每页只表达一个结论，所有图表给出数据来源，不使用未经验证的市场规模数字，最后三页依次为实施路线、资源需求和董事会决策事项。</w:t>
      </w:r>
    </w:p>
    <w:p>
      <w:pPr>
        <w:pStyle w:val="Heading2"/>
        <w:keepNext/>
      </w:pPr>
      <w:r>
        <w:t>7.4 生成失败或质量不够</w:t>
      </w:r>
    </w:p>
    <w:p>
      <w:pPr>
        <w:pStyle w:val="ListBullet"/>
      </w:pPr>
      <w:r>
        <w:rPr>
          <w:rFonts w:ascii="Microsoft YaHei" w:hAnsi="Microsoft YaHei" w:eastAsia="Microsoft YaHei"/>
        </w:rPr>
        <w:t>先检查模板是否匹配，不要用法律意见书模板生成财务分析。</w:t>
      </w:r>
    </w:p>
    <w:p>
      <w:pPr>
        <w:pStyle w:val="ListBullet"/>
      </w:pPr>
      <w:r>
        <w:rPr>
          <w:rFonts w:ascii="Microsoft YaHei" w:hAnsi="Microsoft YaHei" w:eastAsia="Microsoft YaHei"/>
        </w:rPr>
        <w:t>把大任务拆成清单、章节、表格和摘要分别生成，再合并。</w:t>
      </w:r>
    </w:p>
    <w:p>
      <w:pPr>
        <w:pStyle w:val="ListBullet"/>
      </w:pPr>
      <w:r>
        <w:rPr>
          <w:rFonts w:ascii="Microsoft YaHei" w:hAnsi="Microsoft YaHei" w:eastAsia="Microsoft YaHei"/>
        </w:rPr>
        <w:t>减少空泛要求，增加报告期、事实、数字、规则版本和输出格式。</w:t>
      </w:r>
    </w:p>
    <w:p>
      <w:pPr>
        <w:pStyle w:val="ListBullet"/>
      </w:pPr>
      <w:r>
        <w:rPr>
          <w:rFonts w:ascii="Microsoft YaHei" w:hAnsi="Microsoft YaHei" w:eastAsia="Microsoft YaHei"/>
        </w:rPr>
        <w:t>保留项目 ID 和错误编号，通过售后工单提交脱敏问题。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64"/>
      </w:tblGrid>
      <w:tr>
        <w:tc>
          <w:tcPr>
            <w:tcW w:type="dxa" w:w="9764"/>
            <w:shd w:fill="063F37"/>
            <w:tcMar>
              <w:top w:w="360" w:type="dxa"/>
              <w:start w:w="420" w:type="dxa"/>
              <w:bottom w:w="360" w:type="dxa"/>
              <w:end w:w="42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FFFFFF"/>
                <w:sz w:val="42"/>
              </w:rPr>
              <w:t>让专业人员把时间用在判断，而不是重复排版</w:t>
            </w:r>
          </w:p>
          <w:p>
            <w:r>
              <w:rPr>
                <w:rFonts w:ascii="Microsoft YaHei" w:hAnsi="Microsoft YaHei" w:eastAsia="Microsoft YaHei"/>
                <w:color w:val="D4EEE8"/>
                <w:sz w:val="22"/>
              </w:rPr>
              <w:t>演示体验：longteng.digitalqibo.com/demo</w:t>
            </w:r>
          </w:p>
          <w:p>
            <w:r>
              <w:rPr>
                <w:rFonts w:ascii="Microsoft YaHei" w:hAnsi="Microsoft YaHei" w:eastAsia="Microsoft YaHei"/>
                <w:color w:val="D4EEE8"/>
                <w:sz w:val="22"/>
              </w:rPr>
              <w:t>正式工作台：longteng.digitalqibo.com/console</w:t>
            </w:r>
          </w:p>
          <w:p>
            <w:r>
              <w:rPr>
                <w:rFonts w:ascii="Microsoft YaHei" w:hAnsi="Microsoft YaHei" w:eastAsia="Microsoft YaHei"/>
                <w:color w:val="B8DAD3"/>
                <w:sz w:val="20"/>
              </w:rPr>
              <w:t>遇到问题：工作台左下角 → 客户服务与账单 → 新建售后工单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23" w:right="1238" w:bottom="1037" w:left="12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F756F"/>
        <w:sz w:val="16"/>
      </w:rPr>
      <w:t xml:space="preserve">longteng.digitalqibo.com  ·  第 </w:t>
    </w:r>
    <w:r>
      <w:fldChar w:fldCharType="begin"/>
      <w:instrText xml:space="preserve">PAGE</w:instrText>
      <w:fldChar w:fldCharType="separate"/>
      <w:fldChar w:fldCharType="end"/>
    </w:r>
    <w:r>
      <w:rPr>
        <w:rFonts w:ascii="Microsoft YaHei" w:hAnsi="Microsoft YaHei" w:eastAsia="Microsoft YaHei"/>
        <w:color w:val="5F756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6" w:color="D5E3E0" w:space="4"/>
      </w:pBdr>
    </w:pPr>
    <w:r>
      <w:rPr>
        <w:rFonts w:ascii="Microsoft YaHei" w:hAnsi="Microsoft YaHei" w:eastAsia="Microsoft YaHei"/>
        <w:b/>
        <w:color w:val="087C68"/>
        <w:sz w:val="18"/>
      </w:rPr>
      <w:t>LT  龙腾壹号</w:t>
    </w:r>
    <w:r>
      <w:rPr>
        <w:rFonts w:ascii="Microsoft YaHei" w:hAnsi="Microsoft YaHei" w:eastAsia="Microsoft YaHei"/>
        <w:color w:val="5F756F"/>
        <w:sz w:val="16"/>
      </w:rPr>
      <w:t xml:space="preserve">  |  用户学习中心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Microsoft YaHei" w:hAnsi="Microsoft YaHei" w:eastAsia="Microsoft YaHei"/>
      <w:color w:val="172B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8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63F3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87C6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63F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63F3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369" w:hanging="198"/>
      <w:contextualSpacing/>
    </w:pPr>
    <w:rPr>
      <w:rFonts w:ascii="Microsoft YaHei" w:hAnsi="Microsoft YaHei" w:eastAsia="Microsoft YaHe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369" w:hanging="198"/>
      <w:contextualSpacing/>
    </w:pPr>
    <w:rPr>
      <w:rFonts w:ascii="Microsoft YaHei" w:hAnsi="Microsoft YaHei" w:eastAsia="Microsoft YaHe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