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20"/>
      </w:tblGrid>
      <w:tr>
        <w:tc>
          <w:tcPr>
            <w:tcW w:type="dxa" w:w="9764"/>
            <w:shd w:fill="063F37"/>
            <w:tcMar>
              <w:top w:w="540" w:type="dxa"/>
              <w:start w:w="520" w:type="dxa"/>
              <w:bottom w:w="540" w:type="dxa"/>
              <w:end w:w="520" w:type="dxa"/>
            </w:tcMar>
          </w:tcPr>
          <w:p>
            <w:pPr>
              <w:spacing w:after="600"/>
            </w:pPr>
            <w:r>
              <w:rPr>
                <w:rFonts w:ascii="Microsoft YaHei" w:hAnsi="Microsoft YaHei" w:eastAsia="Microsoft YaHei"/>
                <w:b/>
                <w:color w:val="75D9C4"/>
                <w:sz w:val="20"/>
              </w:rPr>
              <w:t>LONGTENG ONE  ·  OFFICIAL GUIDE</w:t>
            </w:r>
          </w:p>
          <w:p>
            <w:pPr>
              <w:spacing w:after="200"/>
            </w:pPr>
            <w:r>
              <w:rPr>
                <w:rFonts w:ascii="Microsoft YaHei" w:hAnsi="Microsoft YaHei" w:eastAsia="Microsoft YaHei"/>
                <w:b/>
                <w:color w:val="FFFFFF"/>
                <w:sz w:val="58"/>
              </w:rPr>
              <w:t>龙腾壹号完整使用手册</w:t>
            </w:r>
          </w:p>
          <w:p>
            <w:pPr>
              <w:spacing w:after="1320"/>
            </w:pPr>
            <w:r>
              <w:rPr>
                <w:rFonts w:ascii="Microsoft YaHei" w:hAnsi="Microsoft YaHei" w:eastAsia="Microsoft YaHei"/>
                <w:color w:val="D4EEE8"/>
                <w:sz w:val="26"/>
              </w:rPr>
              <w:t>个人、企业、开发者与运营协作指南</w:t>
            </w:r>
          </w:p>
          <w:p>
            <w:r>
              <w:rPr>
                <w:rFonts w:ascii="Microsoft YaHei" w:hAnsi="Microsoft YaHei" w:eastAsia="Microsoft YaHei"/>
                <w:b/>
                <w:color w:val="75D9C4"/>
                <w:sz w:val="18"/>
              </w:rPr>
              <w:t>适用对象</w:t>
            </w:r>
          </w:p>
          <w:p>
            <w:r>
              <w:rPr>
                <w:rFonts w:ascii="Microsoft YaHei" w:hAnsi="Microsoft YaHei" w:eastAsia="Microsoft YaHei"/>
                <w:color w:val="FFFFFF"/>
                <w:sz w:val="22"/>
              </w:rPr>
              <w:t>平台终端用户、企业所有者、管理员、财务、审核员、创作者与开发者</w:t>
            </w:r>
          </w:p>
          <w:p>
            <w:pPr>
              <w:spacing w:before="560"/>
            </w:pPr>
            <w:r>
              <w:rPr>
                <w:rFonts w:ascii="Microsoft YaHei" w:hAnsi="Microsoft YaHei" w:eastAsia="Microsoft YaHei"/>
                <w:color w:val="B8DAD3"/>
                <w:sz w:val="18"/>
              </w:rPr>
              <w:t>V1.0  ·  发布日期 2026-08-21</w:t>
            </w:r>
          </w:p>
        </w:tc>
      </w:tr>
    </w:tbl>
    <w:p>
      <w:pPr>
        <w:spacing w:before="320"/>
        <w:jc w:val="right"/>
      </w:pPr>
      <w:r>
        <w:rPr>
          <w:rFonts w:ascii="Microsoft YaHei" w:hAnsi="Microsoft YaHei" w:eastAsia="Microsoft YaHei"/>
          <w:b/>
          <w:color w:val="087C68"/>
          <w:sz w:val="18"/>
        </w:rPr>
        <w:t>统一模型  ·  统一钱包  ·  统一生产  ·  统一服务</w:t>
      </w:r>
    </w:p>
    <w:p>
      <w:r>
        <w:br w:type="page"/>
      </w:r>
    </w:p>
    <w:p>
      <w:pPr>
        <w:pStyle w:val="Heading1"/>
        <w:keepNext/>
      </w:pPr>
      <w:r>
        <w:t>目录</w:t>
      </w:r>
    </w:p>
    <w:p>
      <w:pPr>
        <w:spacing w:after="100"/>
      </w:pPr>
      <w:r>
        <w:rPr>
          <w:rFonts w:ascii="Microsoft YaHei" w:hAnsi="Microsoft YaHei" w:eastAsia="Microsoft YaHei"/>
          <w:b/>
          <w:color w:val="087C68"/>
          <w:sz w:val="18"/>
        </w:rPr>
        <w:t>01</w:t>
      </w:r>
      <w:r>
        <w:rPr>
          <w:rFonts w:ascii="Microsoft YaHei" w:hAnsi="Microsoft YaHei" w:eastAsia="Microsoft YaHei"/>
          <w:b/>
          <w:color w:val="063F37"/>
          <w:sz w:val="21"/>
        </w:rPr>
        <w:t xml:space="preserve">   平台与账号</w:t>
      </w:r>
      <w:r>
        <w:rPr>
          <w:rFonts w:ascii="Microsoft YaHei" w:hAnsi="Microsoft YaHei" w:eastAsia="Microsoft YaHei"/>
          <w:color w:val="5F756F"/>
          <w:sz w:val="18"/>
        </w:rPr>
        <w:t xml:space="preserve">  注册、登录、安全和统一钱包</w:t>
      </w:r>
    </w:p>
    <w:p>
      <w:pPr>
        <w:spacing w:after="100"/>
      </w:pPr>
      <w:r>
        <w:rPr>
          <w:rFonts w:ascii="Microsoft YaHei" w:hAnsi="Microsoft YaHei" w:eastAsia="Microsoft YaHei"/>
          <w:b/>
          <w:color w:val="087C68"/>
          <w:sz w:val="18"/>
        </w:rPr>
        <w:t>02</w:t>
      </w:r>
      <w:r>
        <w:rPr>
          <w:rFonts w:ascii="Microsoft YaHei" w:hAnsi="Microsoft YaHei" w:eastAsia="Microsoft YaHei"/>
          <w:b/>
          <w:color w:val="063F37"/>
          <w:sz w:val="21"/>
        </w:rPr>
        <w:t xml:space="preserve">   龙腾助手</w:t>
      </w:r>
      <w:r>
        <w:rPr>
          <w:rFonts w:ascii="Microsoft YaHei" w:hAnsi="Microsoft YaHei" w:eastAsia="Microsoft YaHei"/>
          <w:color w:val="5F756F"/>
          <w:sz w:val="18"/>
        </w:rPr>
        <w:t xml:space="preserve">  问答、分析与结果复核</w:t>
      </w:r>
    </w:p>
    <w:p>
      <w:pPr>
        <w:spacing w:after="100"/>
      </w:pPr>
      <w:r>
        <w:rPr>
          <w:rFonts w:ascii="Microsoft YaHei" w:hAnsi="Microsoft YaHei" w:eastAsia="Microsoft YaHei"/>
          <w:b/>
          <w:color w:val="087C68"/>
          <w:sz w:val="18"/>
        </w:rPr>
        <w:t>03</w:t>
      </w:r>
      <w:r>
        <w:rPr>
          <w:rFonts w:ascii="Microsoft YaHei" w:hAnsi="Microsoft YaHei" w:eastAsia="Microsoft YaHei"/>
          <w:b/>
          <w:color w:val="063F37"/>
          <w:sz w:val="21"/>
        </w:rPr>
        <w:t xml:space="preserve">   模型与 API</w:t>
      </w:r>
      <w:r>
        <w:rPr>
          <w:rFonts w:ascii="Microsoft YaHei" w:hAnsi="Microsoft YaHei" w:eastAsia="Microsoft YaHei"/>
          <w:color w:val="5F756F"/>
          <w:sz w:val="18"/>
        </w:rPr>
        <w:t xml:space="preserve">  模型选择、智能路由和开发接入</w:t>
      </w:r>
    </w:p>
    <w:p>
      <w:pPr>
        <w:spacing w:after="100"/>
      </w:pPr>
      <w:r>
        <w:rPr>
          <w:rFonts w:ascii="Microsoft YaHei" w:hAnsi="Microsoft YaHei" w:eastAsia="Microsoft YaHei"/>
          <w:b/>
          <w:color w:val="087C68"/>
          <w:sz w:val="18"/>
        </w:rPr>
        <w:t>04</w:t>
      </w:r>
      <w:r>
        <w:rPr>
          <w:rFonts w:ascii="Microsoft YaHei" w:hAnsi="Microsoft YaHei" w:eastAsia="Microsoft YaHei"/>
          <w:b/>
          <w:color w:val="063F37"/>
          <w:sz w:val="21"/>
        </w:rPr>
        <w:t xml:space="preserve">   AI 应用工坊</w:t>
      </w:r>
      <w:r>
        <w:rPr>
          <w:rFonts w:ascii="Microsoft YaHei" w:hAnsi="Microsoft YaHei" w:eastAsia="Microsoft YaHei"/>
          <w:color w:val="5F756F"/>
          <w:sz w:val="18"/>
        </w:rPr>
        <w:t xml:space="preserve">  智能体、工作流、知识库和专业模板</w:t>
      </w:r>
    </w:p>
    <w:p>
      <w:pPr>
        <w:spacing w:after="100"/>
      </w:pPr>
      <w:r>
        <w:rPr>
          <w:rFonts w:ascii="Microsoft YaHei" w:hAnsi="Microsoft YaHei" w:eastAsia="Microsoft YaHei"/>
          <w:b/>
          <w:color w:val="087C68"/>
          <w:sz w:val="18"/>
        </w:rPr>
        <w:t>05</w:t>
      </w:r>
      <w:r>
        <w:rPr>
          <w:rFonts w:ascii="Microsoft YaHei" w:hAnsi="Microsoft YaHei" w:eastAsia="Microsoft YaHei"/>
          <w:b/>
          <w:color w:val="063F37"/>
          <w:sz w:val="21"/>
        </w:rPr>
        <w:t xml:space="preserve">   广告素材中心</w:t>
      </w:r>
      <w:r>
        <w:rPr>
          <w:rFonts w:ascii="Microsoft YaHei" w:hAnsi="Microsoft YaHei" w:eastAsia="Microsoft YaHei"/>
          <w:color w:val="5F756F"/>
          <w:sz w:val="18"/>
        </w:rPr>
        <w:t xml:space="preserve">  批量策划、生产、审核与交付</w:t>
      </w:r>
    </w:p>
    <w:p>
      <w:pPr>
        <w:spacing w:after="100"/>
      </w:pPr>
      <w:r>
        <w:rPr>
          <w:rFonts w:ascii="Microsoft YaHei" w:hAnsi="Microsoft YaHei" w:eastAsia="Microsoft YaHei"/>
          <w:b/>
          <w:color w:val="087C68"/>
          <w:sz w:val="18"/>
        </w:rPr>
        <w:t>06</w:t>
      </w:r>
      <w:r>
        <w:rPr>
          <w:rFonts w:ascii="Microsoft YaHei" w:hAnsi="Microsoft YaHei" w:eastAsia="Microsoft YaHei"/>
          <w:b/>
          <w:color w:val="063F37"/>
          <w:sz w:val="21"/>
        </w:rPr>
        <w:t xml:space="preserve">   AI 视频工坊</w:t>
      </w:r>
      <w:r>
        <w:rPr>
          <w:rFonts w:ascii="Microsoft YaHei" w:hAnsi="Microsoft YaHei" w:eastAsia="Microsoft YaHei"/>
          <w:color w:val="5F756F"/>
          <w:sz w:val="18"/>
        </w:rPr>
        <w:t xml:space="preserve">  短视频、长视频、资产库和后期</w:t>
      </w:r>
    </w:p>
    <w:p>
      <w:pPr>
        <w:spacing w:after="100"/>
      </w:pPr>
      <w:r>
        <w:rPr>
          <w:rFonts w:ascii="Microsoft YaHei" w:hAnsi="Microsoft YaHei" w:eastAsia="Microsoft YaHei"/>
          <w:b/>
          <w:color w:val="087C68"/>
          <w:sz w:val="18"/>
        </w:rPr>
        <w:t>07</w:t>
      </w:r>
      <w:r>
        <w:rPr>
          <w:rFonts w:ascii="Microsoft YaHei" w:hAnsi="Microsoft YaHei" w:eastAsia="Microsoft YaHei"/>
          <w:b/>
          <w:color w:val="063F37"/>
          <w:sz w:val="21"/>
        </w:rPr>
        <w:t xml:space="preserve">   企业协作</w:t>
      </w:r>
      <w:r>
        <w:rPr>
          <w:rFonts w:ascii="Microsoft YaHei" w:hAnsi="Microsoft YaHei" w:eastAsia="Microsoft YaHei"/>
          <w:color w:val="5F756F"/>
          <w:sz w:val="18"/>
        </w:rPr>
        <w:t xml:space="preserve">  席位、角色、权限、预算和账单</w:t>
      </w:r>
    </w:p>
    <w:p>
      <w:pPr>
        <w:spacing w:after="100"/>
      </w:pPr>
      <w:r>
        <w:rPr>
          <w:rFonts w:ascii="Microsoft YaHei" w:hAnsi="Microsoft YaHei" w:eastAsia="Microsoft YaHei"/>
          <w:b/>
          <w:color w:val="087C68"/>
          <w:sz w:val="18"/>
        </w:rPr>
        <w:t>08</w:t>
      </w:r>
      <w:r>
        <w:rPr>
          <w:rFonts w:ascii="Microsoft YaHei" w:hAnsi="Microsoft YaHei" w:eastAsia="Microsoft YaHei"/>
          <w:b/>
          <w:color w:val="063F37"/>
          <w:sz w:val="21"/>
        </w:rPr>
        <w:t xml:space="preserve">   售后与故障排查</w:t>
      </w:r>
      <w:r>
        <w:rPr>
          <w:rFonts w:ascii="Microsoft YaHei" w:hAnsi="Microsoft YaHei" w:eastAsia="Microsoft YaHei"/>
          <w:color w:val="5F756F"/>
          <w:sz w:val="18"/>
        </w:rPr>
        <w:t xml:space="preserve">  工单、错误编号和安全注意事项</w:t>
      </w:r>
    </w:p>
    <w:p>
      <w:r>
        <w:br w:type="page"/>
      </w:r>
    </w:p>
    <w:p>
      <w:pPr>
        <w:pStyle w:val="Heading1"/>
        <w:keepNext/>
      </w:pPr>
      <w:r>
        <w:t>1. 平台与账号</w:t>
      </w:r>
    </w:p>
    <w:p>
      <w:r>
        <w:rPr>
          <w:rFonts w:ascii="Microsoft YaHei" w:hAnsi="Microsoft YaHei" w:eastAsia="Microsoft YaHei"/>
        </w:rPr>
        <w:t>龙腾壹号把大模型调用、AI 应用搭建、广告素材批量生产和视频创作放进同一账号体系。一个账号使用同一钱包、同一账单、同一预算与售后入口。</w:t>
      </w:r>
    </w:p>
    <w:p>
      <w:pPr>
        <w:pStyle w:val="Heading2"/>
        <w:keepNext/>
      </w:pPr>
      <w:r>
        <w:t>1.1 演示与正式工作台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1"/>
        <w:gridCol w:w="2441"/>
        <w:gridCol w:w="2441"/>
        <w:gridCol w:w="2441"/>
      </w:tblGrid>
      <w:tr>
        <w:trPr>
          <w:tblHeader w:val="true"/>
        </w:trPr>
        <w:tc>
          <w:tcPr>
            <w:tcW w:type="dxa" w:w="1800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环境</w:t>
            </w:r>
          </w:p>
        </w:tc>
        <w:tc>
          <w:tcPr>
            <w:tcW w:type="dxa" w:w="1800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地址</w:t>
            </w:r>
          </w:p>
        </w:tc>
        <w:tc>
          <w:tcPr>
            <w:tcW w:type="dxa" w:w="3744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适合用途</w:t>
            </w:r>
          </w:p>
        </w:tc>
        <w:tc>
          <w:tcPr>
            <w:tcW w:type="dxa" w:w="2016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是否计费</w:t>
            </w:r>
          </w:p>
        </w:tc>
      </w:tr>
      <w:tr>
        <w:tc>
          <w:tcPr>
            <w:tcW w:type="dxa" w:w="180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交互演示</w:t>
            </w:r>
          </w:p>
        </w:tc>
        <w:tc>
          <w:tcPr>
            <w:tcW w:type="dxa" w:w="180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/demo</w:t>
            </w:r>
          </w:p>
        </w:tc>
        <w:tc>
          <w:tcPr>
            <w:tcW w:type="dxa" w:w="374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了解流程、试用页面和模板</w:t>
            </w:r>
          </w:p>
        </w:tc>
        <w:tc>
          <w:tcPr>
            <w:tcW w:type="dxa" w:w="201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不调用供应商，不计费</w:t>
            </w:r>
          </w:p>
        </w:tc>
      </w:tr>
      <w:tr>
        <w:tc>
          <w:tcPr>
            <w:tcW w:type="dxa" w:w="180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正式工作台</w:t>
            </w:r>
          </w:p>
        </w:tc>
        <w:tc>
          <w:tcPr>
            <w:tcW w:type="dxa" w:w="180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/console</w:t>
            </w:r>
          </w:p>
        </w:tc>
        <w:tc>
          <w:tcPr>
            <w:tcW w:type="dxa" w:w="3744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生成真实结果、创建项目和调用 API</w:t>
            </w:r>
          </w:p>
        </w:tc>
        <w:tc>
          <w:tcPr>
            <w:tcW w:type="dxa" w:w="201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按实际用量计费</w:t>
            </w:r>
          </w:p>
        </w:tc>
      </w:tr>
      <w:tr>
        <w:tc>
          <w:tcPr>
            <w:tcW w:type="dxa" w:w="180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开发者中心</w:t>
            </w:r>
          </w:p>
        </w:tc>
        <w:tc>
          <w:tcPr>
            <w:tcW w:type="dxa" w:w="180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/developers</w:t>
            </w:r>
          </w:p>
        </w:tc>
        <w:tc>
          <w:tcPr>
            <w:tcW w:type="dxa" w:w="374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查看兼容接口、模型列表与接入示例</w:t>
            </w:r>
          </w:p>
        </w:tc>
        <w:tc>
          <w:tcPr>
            <w:tcW w:type="dxa" w:w="201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文档免费，调用计费</w:t>
            </w:r>
          </w:p>
        </w:tc>
      </w:tr>
      <w:tr>
        <w:tc>
          <w:tcPr>
            <w:tcW w:type="dxa" w:w="180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帮助中心</w:t>
            </w:r>
          </w:p>
        </w:tc>
        <w:tc>
          <w:tcPr>
            <w:tcW w:type="dxa" w:w="180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/help</w:t>
            </w:r>
          </w:p>
        </w:tc>
        <w:tc>
          <w:tcPr>
            <w:tcW w:type="dxa" w:w="3744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查操作步骤、FAQ 和下载手册</w:t>
            </w:r>
          </w:p>
        </w:tc>
        <w:tc>
          <w:tcPr>
            <w:tcW w:type="dxa" w:w="201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免费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1.2 注册、登录与密码安全</w:t>
      </w:r>
    </w:p>
    <w:p>
      <w:pPr>
        <w:pStyle w:val="ListBullet"/>
      </w:pPr>
      <w:r>
        <w:rPr>
          <w:rFonts w:ascii="Microsoft YaHei" w:hAnsi="Microsoft YaHei" w:eastAsia="Microsoft YaHei"/>
        </w:rPr>
        <w:t>使用常用邮箱注册并完成验证。新用户赠送 ¥5.00 启动额度，到账状态以钱包记录为准。</w:t>
      </w:r>
    </w:p>
    <w:p>
      <w:pPr>
        <w:pStyle w:val="ListBullet"/>
      </w:pPr>
      <w:r>
        <w:rPr>
          <w:rFonts w:ascii="Microsoft YaHei" w:hAnsi="Microsoft YaHei" w:eastAsia="Microsoft YaHei"/>
        </w:rPr>
        <w:t>密码至少 10 位，并包含大小写字母、数字或符号中的三类。不要与邮箱或其他网站共用密码。</w:t>
      </w:r>
    </w:p>
    <w:p>
      <w:pPr>
        <w:pStyle w:val="ListBullet"/>
      </w:pPr>
      <w:r>
        <w:rPr>
          <w:rFonts w:ascii="Microsoft YaHei" w:hAnsi="Microsoft YaHei" w:eastAsia="Microsoft YaHei"/>
        </w:rPr>
        <w:t>忘记密码时通过邮箱验证码重置。任何人向你索要完整密码、验证码或完整 API Key，都应拒绝。</w:t>
      </w:r>
    </w:p>
    <w:p>
      <w:pPr>
        <w:pStyle w:val="ListBullet"/>
      </w:pPr>
      <w:r>
        <w:rPr>
          <w:rFonts w:ascii="Microsoft YaHei" w:hAnsi="Microsoft YaHei" w:eastAsia="Microsoft YaHei"/>
        </w:rPr>
        <w:t>公共电脑使用后退出账号；企业成员离职或项目结束后，由企业所有者立即移除成员。</w:t>
      </w:r>
    </w:p>
    <w:p>
      <w:pPr>
        <w:pStyle w:val="Heading2"/>
        <w:keepNext/>
      </w:pPr>
      <w:r>
        <w:t>1.3 统一钱包、充值与结算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82"/>
        <w:gridCol w:w="4882"/>
      </w:tblGrid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01</w:t>
            </w:r>
          </w:p>
        </w:tc>
        <w:tc>
          <w:tcPr>
            <w:tcW w:type="dxa" w:w="8496"/>
            <w:shd w:fill="FFFFFF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查看余额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工作台左下角打开“客户服务与账单”，查看可用余额、冻结金额和最近交易。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02</w:t>
            </w:r>
          </w:p>
        </w:tc>
        <w:tc>
          <w:tcPr>
            <w:tcW w:type="dxa" w:w="8496"/>
            <w:shd w:fill="F4F7F6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充值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选择在线充值渠道并完成支付；支付成功后自动入账，异常时可提交账单工单。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03</w:t>
            </w:r>
          </w:p>
        </w:tc>
        <w:tc>
          <w:tcPr>
            <w:tcW w:type="dxa" w:w="8496"/>
            <w:shd w:fill="FFFFFF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预冻结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视频、长视频和部分生产任务提交前会预冻结最高预计金额，避免超预算。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04</w:t>
            </w:r>
          </w:p>
        </w:tc>
        <w:tc>
          <w:tcPr>
            <w:tcW w:type="dxa" w:w="8496"/>
            <w:shd w:fill="F4F7F6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按实结算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任务成功后按实际供应商用量与账户价表结算，多余预留金额自动释放。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05</w:t>
            </w:r>
          </w:p>
        </w:tc>
        <w:tc>
          <w:tcPr>
            <w:tcW w:type="dxa" w:w="8496"/>
            <w:shd w:fill="FFFFFF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下载账单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按自然月查看汇总，并导出 CSV 供企业财务对账。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32"/>
      </w:tblGrid>
      <w:tr>
        <w:tc>
          <w:tcPr>
            <w:tcW w:type="dxa" w:w="9764"/>
            <w:shd w:fill="DFF5EF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087C68"/>
                <w:sz w:val="21"/>
              </w:rPr>
              <w:t>账户服务费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color w:val="172B27"/>
                <w:sz w:val="19"/>
              </w:rPr>
              <w:t>模型调用默认按个人 8%、企业 6%、战略客户 5% 收取平台服务费。客户专属价表、最低收费和供应商价格调整，以工作台提交前展示及双方协议为准。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2. 龙腾助手</w:t>
      </w:r>
    </w:p>
    <w:p>
      <w:r>
        <w:rPr>
          <w:rFonts w:ascii="Microsoft YaHei" w:hAnsi="Microsoft YaHei" w:eastAsia="Microsoft YaHei"/>
        </w:rPr>
        <w:t>龙腾助手适合问答、分析、写作、方案梳理和复杂任务拆解。它使用主站统一钱包，并受企业权限和预算限制。</w:t>
      </w:r>
    </w:p>
    <w:p>
      <w:pPr>
        <w:pStyle w:val="Heading2"/>
        <w:keepNext/>
      </w:pPr>
      <w:r>
        <w:t>2.1 高质量提问公式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5"/>
        <w:gridCol w:w="3255"/>
        <w:gridCol w:w="3255"/>
      </w:tblGrid>
      <w:tr>
        <w:trPr>
          <w:tblHeader w:val="true"/>
        </w:trPr>
        <w:tc>
          <w:tcPr>
            <w:tcW w:type="dxa" w:w="1296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要素</w:t>
            </w:r>
          </w:p>
        </w:tc>
        <w:tc>
          <w:tcPr>
            <w:tcW w:type="dxa" w:w="3384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写法</w:t>
            </w:r>
          </w:p>
        </w:tc>
        <w:tc>
          <w:tcPr>
            <w:tcW w:type="dxa" w:w="4680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示例</w:t>
            </w:r>
          </w:p>
        </w:tc>
      </w:tr>
      <w:tr>
        <w:tc>
          <w:tcPr>
            <w:tcW w:type="dxa" w:w="129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背景</w:t>
            </w:r>
          </w:p>
        </w:tc>
        <w:tc>
          <w:tcPr>
            <w:tcW w:type="dxa" w:w="338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交代行业、对象和已有资料</w:t>
            </w:r>
          </w:p>
        </w:tc>
        <w:tc>
          <w:tcPr>
            <w:tcW w:type="dxa" w:w="468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我们是一家服务 MCN 的视频加工平台</w:t>
            </w:r>
          </w:p>
        </w:tc>
      </w:tr>
      <w:tr>
        <w:tc>
          <w:tcPr>
            <w:tcW w:type="dxa" w:w="129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目标</w:t>
            </w:r>
          </w:p>
        </w:tc>
        <w:tc>
          <w:tcPr>
            <w:tcW w:type="dxa" w:w="3384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说明希望解决什么问题</w:t>
            </w:r>
          </w:p>
        </w:tc>
        <w:tc>
          <w:tcPr>
            <w:tcW w:type="dxa" w:w="468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设计一套 30 天客户内测计划</w:t>
            </w:r>
          </w:p>
        </w:tc>
      </w:tr>
      <w:tr>
        <w:tc>
          <w:tcPr>
            <w:tcW w:type="dxa" w:w="129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输出</w:t>
            </w:r>
          </w:p>
        </w:tc>
        <w:tc>
          <w:tcPr>
            <w:tcW w:type="dxa" w:w="338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指定格式、长度和层级</w:t>
            </w:r>
          </w:p>
        </w:tc>
        <w:tc>
          <w:tcPr>
            <w:tcW w:type="dxa" w:w="468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表格输出，含负责人、周期、指标</w:t>
            </w:r>
          </w:p>
        </w:tc>
      </w:tr>
      <w:tr>
        <w:tc>
          <w:tcPr>
            <w:tcW w:type="dxa" w:w="129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约束</w:t>
            </w:r>
          </w:p>
        </w:tc>
        <w:tc>
          <w:tcPr>
            <w:tcW w:type="dxa" w:w="3384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列出预算、合规或禁用内容</w:t>
            </w:r>
          </w:p>
        </w:tc>
        <w:tc>
          <w:tcPr>
            <w:tcW w:type="dxa" w:w="468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不使用未经授权的客户数据</w:t>
            </w:r>
          </w:p>
        </w:tc>
      </w:tr>
      <w:tr>
        <w:tc>
          <w:tcPr>
            <w:tcW w:type="dxa" w:w="129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复核</w:t>
            </w:r>
          </w:p>
        </w:tc>
        <w:tc>
          <w:tcPr>
            <w:tcW w:type="dxa" w:w="338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要求标记假设和待核实项</w:t>
            </w:r>
          </w:p>
        </w:tc>
        <w:tc>
          <w:tcPr>
            <w:tcW w:type="dxa" w:w="468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把事实、推断和建议分开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2.2 推荐工作法</w:t>
      </w:r>
    </w:p>
    <w:p>
      <w:pPr>
        <w:pStyle w:val="ListBullet"/>
      </w:pPr>
      <w:r>
        <w:rPr>
          <w:rFonts w:ascii="Microsoft YaHei" w:hAnsi="Microsoft YaHei" w:eastAsia="Microsoft YaHei"/>
        </w:rPr>
        <w:t>第一轮先让助手澄清任务、列大纲；第二轮补资料；第三轮要求生成正式版本。</w:t>
      </w:r>
    </w:p>
    <w:p>
      <w:pPr>
        <w:pStyle w:val="ListBullet"/>
      </w:pPr>
      <w:r>
        <w:rPr>
          <w:rFonts w:ascii="Microsoft YaHei" w:hAnsi="Microsoft YaHei" w:eastAsia="Microsoft YaHei"/>
        </w:rPr>
        <w:t>长内容分章节生成，每章都确认事实与口径，再合并。</w:t>
      </w:r>
    </w:p>
    <w:p>
      <w:pPr>
        <w:pStyle w:val="ListBullet"/>
      </w:pPr>
      <w:r>
        <w:rPr>
          <w:rFonts w:ascii="Microsoft YaHei" w:hAnsi="Microsoft YaHei" w:eastAsia="Microsoft YaHei"/>
        </w:rPr>
        <w:t>关键结论要求给出依据、计算过程、反例和待核实清单。</w:t>
      </w:r>
    </w:p>
    <w:p>
      <w:pPr>
        <w:pStyle w:val="ListBullet"/>
      </w:pPr>
      <w:r>
        <w:rPr>
          <w:rFonts w:ascii="Microsoft YaHei" w:hAnsi="Microsoft YaHei" w:eastAsia="Microsoft YaHei"/>
        </w:rPr>
        <w:t>涉及个人信息、商业秘密和未公开重大信息时，只上传已获授权且确有必要的内容。</w:t>
      </w:r>
    </w:p>
    <w:p>
      <w:pPr>
        <w:pStyle w:val="Heading1"/>
        <w:keepNext/>
      </w:pPr>
      <w:r>
        <w:t>3. 模型与 API</w:t>
      </w:r>
    </w:p>
    <w:p>
      <w:r>
        <w:rPr>
          <w:rFonts w:ascii="Microsoft YaHei" w:hAnsi="Microsoft YaHei" w:eastAsia="Microsoft YaHei"/>
        </w:rPr>
        <w:t>模型与 API 中心提供统一模型目录、参数与价格展示、智能路由、调用测试、用量记录和 OpenAI 兼容接口。当前正式业务以已签约、已开通且符合使用地域要求的线路为准。</w:t>
      </w:r>
    </w:p>
    <w:p>
      <w:pPr>
        <w:pStyle w:val="Heading2"/>
        <w:keepNext/>
      </w:pPr>
      <w:r>
        <w:t>3.1 普通用户：直接调用模型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82"/>
        <w:gridCol w:w="4882"/>
      </w:tblGrid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01</w:t>
            </w:r>
          </w:p>
        </w:tc>
        <w:tc>
          <w:tcPr>
            <w:tcW w:type="dxa" w:w="8496"/>
            <w:shd w:fill="FFFFFF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选场景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先选快速问答、营销、经营分析、信息提取或代码检查模板。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02</w:t>
            </w:r>
          </w:p>
        </w:tc>
        <w:tc>
          <w:tcPr>
            <w:tcW w:type="dxa" w:w="8496"/>
            <w:shd w:fill="F4F7F6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选模型或自动路由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不确定时使用自动路由；有能力、速度或成本要求时指定模型。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03</w:t>
            </w:r>
          </w:p>
        </w:tc>
        <w:tc>
          <w:tcPr>
            <w:tcW w:type="dxa" w:w="8496"/>
            <w:shd w:fill="FFFFFF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看参数和价格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确认上下文、输入输出单价、线路状态、预计费用和账户价表。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04</w:t>
            </w:r>
          </w:p>
        </w:tc>
        <w:tc>
          <w:tcPr>
            <w:tcW w:type="dxa" w:w="8496"/>
            <w:shd w:fill="F4F7F6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运行并看路由回执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查看实际供应商、尝试次数、延迟、Token、成本和节省金额。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3.2 开发者：通过 API 接入</w:t>
      </w:r>
    </w:p>
    <w:p>
      <w:pPr>
        <w:pStyle w:val="ListBullet"/>
      </w:pPr>
      <w:r>
        <w:rPr>
          <w:rFonts w:ascii="Microsoft YaHei" w:hAnsi="Microsoft YaHei" w:eastAsia="Microsoft YaHei"/>
        </w:rPr>
        <w:t>在工作台创建 API Key；完整 Key 只显示一次，应立即保存到服务器密钥管理或环境变量。</w:t>
      </w:r>
    </w:p>
    <w:p>
      <w:pPr>
        <w:pStyle w:val="ListBullet"/>
      </w:pPr>
      <w:r>
        <w:rPr>
          <w:rFonts w:ascii="Microsoft YaHei" w:hAnsi="Microsoft YaHei" w:eastAsia="Microsoft YaHei"/>
        </w:rPr>
        <w:t>兼容入口：POST /v1/chat/completions；模型列表：GET /v1/models。</w:t>
      </w:r>
    </w:p>
    <w:p>
      <w:pPr>
        <w:pStyle w:val="ListBullet"/>
      </w:pPr>
      <w:r>
        <w:rPr>
          <w:rFonts w:ascii="Microsoft YaHei" w:hAnsi="Microsoft YaHei" w:eastAsia="Microsoft YaHei"/>
        </w:rPr>
        <w:t>Authorization 使用 Bearer Key。生产环境必须设置超时、重试、幂等、日志脱敏和预算上限。</w:t>
      </w:r>
    </w:p>
    <w:p>
      <w:pPr>
        <w:pStyle w:val="ListBullet"/>
      </w:pPr>
      <w:r>
        <w:rPr>
          <w:rFonts w:ascii="Microsoft YaHei" w:hAnsi="Microsoft YaHei" w:eastAsia="Microsoft YaHei"/>
        </w:rPr>
        <w:t>收到 401 先检查 Key；429 检查限流与预算；5xx 使用指数退避，并保留请求编号提交工单。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32"/>
      </w:tblGrid>
      <w:tr>
        <w:tc>
          <w:tcPr>
            <w:tcW w:type="dxa" w:w="9764"/>
            <w:shd w:fill="FBE9E7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A63A36"/>
                <w:sz w:val="21"/>
              </w:rPr>
              <w:t>不要把 Key 写进前端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color w:val="172B27"/>
                <w:sz w:val="19"/>
              </w:rPr>
              <w:t>浏览器 JavaScript、公开代码仓库、聊天截图和工单正文都不是存放 API Key 的地方。疑似泄露时，立即删除旧 Key 并创建新 Key。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4. AI 应用工坊</w:t>
      </w:r>
    </w:p>
    <w:p>
      <w:r>
        <w:rPr>
          <w:rFonts w:ascii="Microsoft YaHei" w:hAnsi="Microsoft YaHei" w:eastAsia="Microsoft YaHei"/>
        </w:rPr>
        <w:t>AI 应用工坊用于创建智能体、工作流、知识库和插件应用。主站通过专用 API Key 与工坊协同，账号资金仍由龙腾壹号统一钱包管理。</w:t>
      </w:r>
    </w:p>
    <w:p>
      <w:pPr>
        <w:pStyle w:val="Heading2"/>
        <w:keepNext/>
      </w:pPr>
      <w:r>
        <w:t>4.1 四类能力怎么选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5"/>
        <w:gridCol w:w="3255"/>
        <w:gridCol w:w="3255"/>
      </w:tblGrid>
      <w:tr>
        <w:trPr>
          <w:tblHeader w:val="true"/>
        </w:trPr>
        <w:tc>
          <w:tcPr>
            <w:tcW w:type="dxa" w:w="1584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能力</w:t>
            </w:r>
          </w:p>
        </w:tc>
        <w:tc>
          <w:tcPr>
            <w:tcW w:type="dxa" w:w="3888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适用场景</w:t>
            </w:r>
          </w:p>
        </w:tc>
        <w:tc>
          <w:tcPr>
            <w:tcW w:type="dxa" w:w="3888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起步建议</w:t>
            </w:r>
          </w:p>
        </w:tc>
      </w:tr>
      <w:tr>
        <w:tc>
          <w:tcPr>
            <w:tcW w:type="dxa" w:w="158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智能体</w:t>
            </w:r>
          </w:p>
        </w:tc>
        <w:tc>
          <w:tcPr>
            <w:tcW w:type="dxa" w:w="388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固定角色、连续问答、客户服务</w:t>
            </w:r>
          </w:p>
        </w:tc>
        <w:tc>
          <w:tcPr>
            <w:tcW w:type="dxa" w:w="388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先写角色、任务边界和拒答规则</w:t>
            </w:r>
          </w:p>
        </w:tc>
      </w:tr>
      <w:tr>
        <w:tc>
          <w:tcPr>
            <w:tcW w:type="dxa" w:w="1584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工作流</w:t>
            </w:r>
          </w:p>
        </w:tc>
        <w:tc>
          <w:tcPr>
            <w:tcW w:type="dxa" w:w="388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多步骤、需条件判断或工具调用的流程</w:t>
            </w:r>
          </w:p>
        </w:tc>
        <w:tc>
          <w:tcPr>
            <w:tcW w:type="dxa" w:w="388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把每一步输入输出写清楚</w:t>
            </w:r>
          </w:p>
        </w:tc>
      </w:tr>
      <w:tr>
        <w:tc>
          <w:tcPr>
            <w:tcW w:type="dxa" w:w="158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知识库</w:t>
            </w:r>
          </w:p>
        </w:tc>
        <w:tc>
          <w:tcPr>
            <w:tcW w:type="dxa" w:w="388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企业制度、产品资料、项目文档问答</w:t>
            </w:r>
          </w:p>
        </w:tc>
        <w:tc>
          <w:tcPr>
            <w:tcW w:type="dxa" w:w="388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先做小而干净的资料集</w:t>
            </w:r>
          </w:p>
        </w:tc>
      </w:tr>
      <w:tr>
        <w:tc>
          <w:tcPr>
            <w:tcW w:type="dxa" w:w="1584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插件</w:t>
            </w:r>
          </w:p>
        </w:tc>
        <w:tc>
          <w:tcPr>
            <w:tcW w:type="dxa" w:w="388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搜索、地图、表格、第三方业务系统</w:t>
            </w:r>
          </w:p>
        </w:tc>
        <w:tc>
          <w:tcPr>
            <w:tcW w:type="dxa" w:w="388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最小权限接入，先在测试空间验证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4.2 资本市场模板</w:t>
      </w:r>
    </w:p>
    <w:p>
      <w:r>
        <w:rPr>
          <w:rFonts w:ascii="Microsoft YaHei" w:hAnsi="Microsoft YaHei" w:eastAsia="Microsoft YaHei"/>
        </w:rPr>
        <w:t>资本市场专区覆盖上市公司、券商、律师、会计师、评估师、基金/私募和咨询公司七大行业。模板可生成 Word、Excel 或 PPTX 初稿，并保留生成记录与下载入口。</w:t>
      </w:r>
    </w:p>
    <w:p>
      <w:pPr>
        <w:pStyle w:val="ListBullet"/>
      </w:pPr>
      <w:r>
        <w:rPr>
          <w:rFonts w:ascii="Microsoft YaHei" w:hAnsi="Microsoft YaHei" w:eastAsia="Microsoft YaHei"/>
        </w:rPr>
        <w:t>先选择行业，再选择模板；星标模板适合首次试用。</w:t>
      </w:r>
    </w:p>
    <w:p>
      <w:pPr>
        <w:pStyle w:val="ListBullet"/>
      </w:pPr>
      <w:r>
        <w:rPr>
          <w:rFonts w:ascii="Microsoft YaHei" w:hAnsi="Microsoft YaHei" w:eastAsia="Microsoft YaHei"/>
        </w:rPr>
        <w:t>输入项目资料时，事实数据、假设、口径和截止日期应分别填写。</w:t>
      </w:r>
    </w:p>
    <w:p>
      <w:pPr>
        <w:pStyle w:val="ListBullet"/>
      </w:pPr>
      <w:r>
        <w:rPr>
          <w:rFonts w:ascii="Microsoft YaHei" w:hAnsi="Microsoft YaHei" w:eastAsia="Microsoft YaHei"/>
        </w:rPr>
        <w:t>生成后按“事实、数字、引用、格式、权限”五项复核，不可直接作为申报或签署文件。</w:t>
      </w:r>
    </w:p>
    <w:p>
      <w:pPr>
        <w:pStyle w:val="Heading1"/>
        <w:keepNext/>
      </w:pPr>
      <w:r>
        <w:t>5. 广告素材中心</w:t>
      </w:r>
    </w:p>
    <w:p>
      <w:r>
        <w:rPr>
          <w:rFonts w:ascii="Microsoft YaHei" w:hAnsi="Microsoft YaHei" w:eastAsia="Microsoft YaHei"/>
        </w:rPr>
        <w:t>广告素材中心把产品简报转为多版本文案、口播稿、商品图文方案与 Seedance 视频。企业无人生产线可按批次推进素材、质量门、异常处理和交付。</w:t>
      </w:r>
    </w:p>
    <w:p>
      <w:pPr>
        <w:pStyle w:val="Heading2"/>
        <w:keepNext/>
      </w:pPr>
      <w:r>
        <w:t>5.1 标准生产流程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82"/>
        <w:gridCol w:w="4882"/>
      </w:tblGrid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01</w:t>
            </w:r>
          </w:p>
        </w:tc>
        <w:tc>
          <w:tcPr>
            <w:tcW w:type="dxa" w:w="8496"/>
            <w:shd w:fill="FFFFFF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提交简报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填写产品、受众、卖点、渠道、禁用表达、交付规格和参考资料。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02</w:t>
            </w:r>
          </w:p>
        </w:tc>
        <w:tc>
          <w:tcPr>
            <w:tcW w:type="dxa" w:w="8496"/>
            <w:shd w:fill="F4F7F6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生成报价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系统先创建订单和报价，不立即调用模型；确认范围和费用后再启动。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03</w:t>
            </w:r>
          </w:p>
        </w:tc>
        <w:tc>
          <w:tcPr>
            <w:tcW w:type="dxa" w:w="8496"/>
            <w:shd w:fill="FFFFFF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支付启动款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按订单支付约定启动款，进入策划和批量生产。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04</w:t>
            </w:r>
          </w:p>
        </w:tc>
        <w:tc>
          <w:tcPr>
            <w:tcW w:type="dxa" w:w="8496"/>
            <w:shd w:fill="F4F7F6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质量审核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检查事实、品牌口径、平台政策、画面和字幕；不合格项只重做对应素材。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05</w:t>
            </w:r>
          </w:p>
        </w:tc>
        <w:tc>
          <w:tcPr>
            <w:tcW w:type="dxa" w:w="8496"/>
            <w:shd w:fill="FFFFFF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验收交付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客户确认后结清尾款，导出素材及生产记录；视频模型费用进入统一账单。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5.2 批量生产前要准备</w:t>
      </w:r>
    </w:p>
    <w:p>
      <w:pPr>
        <w:pStyle w:val="ListBullet"/>
      </w:pPr>
      <w:r>
        <w:rPr>
          <w:rFonts w:ascii="Microsoft YaHei" w:hAnsi="Microsoft YaHei" w:eastAsia="Microsoft YaHei"/>
        </w:rPr>
        <w:t>品牌标准：Logo、色彩、字体、称谓、禁用表达、法务免责声明。</w:t>
      </w:r>
    </w:p>
    <w:p>
      <w:pPr>
        <w:pStyle w:val="ListBullet"/>
      </w:pPr>
      <w:r>
        <w:rPr>
          <w:rFonts w:ascii="Microsoft YaHei" w:hAnsi="Microsoft YaHei" w:eastAsia="Microsoft YaHei"/>
        </w:rPr>
        <w:t>商品资料：准确参数、价格口径、使用场景、目标人群和差异化卖点。</w:t>
      </w:r>
    </w:p>
    <w:p>
      <w:pPr>
        <w:pStyle w:val="ListBullet"/>
      </w:pPr>
      <w:r>
        <w:rPr>
          <w:rFonts w:ascii="Microsoft YaHei" w:hAnsi="Microsoft YaHei" w:eastAsia="Microsoft YaHei"/>
        </w:rPr>
        <w:t>渠道规格：抖音/视频号/小红书/信息流等画幅、时长、标题和审核要求。</w:t>
      </w:r>
    </w:p>
    <w:p>
      <w:pPr>
        <w:pStyle w:val="ListBullet"/>
      </w:pPr>
      <w:r>
        <w:rPr>
          <w:rFonts w:ascii="Microsoft YaHei" w:hAnsi="Microsoft YaHei" w:eastAsia="Microsoft YaHei"/>
        </w:rPr>
        <w:t>验收标准：数量、分辨率、事实准确率、品牌一致性、首轮通过率和交付时间。</w:t>
      </w:r>
    </w:p>
    <w:p>
      <w:pPr>
        <w:pStyle w:val="Heading1"/>
        <w:keepNext/>
      </w:pPr>
      <w:r>
        <w:t>6. AI 视频工坊</w:t>
      </w:r>
    </w:p>
    <w:p>
      <w:pPr>
        <w:pStyle w:val="Heading2"/>
        <w:keepNext/>
      </w:pPr>
      <w:r>
        <w:t>6.1 三个主要标签页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5"/>
        <w:gridCol w:w="3255"/>
        <w:gridCol w:w="3255"/>
      </w:tblGrid>
      <w:tr>
        <w:trPr>
          <w:tblHeader w:val="true"/>
        </w:trPr>
        <w:tc>
          <w:tcPr>
            <w:tcW w:type="dxa" w:w="1944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标签页</w:t>
            </w:r>
          </w:p>
        </w:tc>
        <w:tc>
          <w:tcPr>
            <w:tcW w:type="dxa" w:w="4032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用途</w:t>
            </w:r>
          </w:p>
        </w:tc>
        <w:tc>
          <w:tcPr>
            <w:tcW w:type="dxa" w:w="3384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适合任务</w:t>
            </w:r>
          </w:p>
        </w:tc>
      </w:tr>
      <w:tr>
        <w:tc>
          <w:tcPr>
            <w:tcW w:type="dxa" w:w="194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品牌资产库</w:t>
            </w:r>
          </w:p>
        </w:tc>
        <w:tc>
          <w:tcPr>
            <w:tcW w:type="dxa" w:w="403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保存人物、品牌、产品和场景参考素材</w:t>
            </w:r>
          </w:p>
        </w:tc>
        <w:tc>
          <w:tcPr>
            <w:tcW w:type="dxa" w:w="338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重复创作、保持品牌一致</w:t>
            </w:r>
          </w:p>
        </w:tc>
      </w:tr>
      <w:tr>
        <w:tc>
          <w:tcPr>
            <w:tcW w:type="dxa" w:w="1944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长视频工坊</w:t>
            </w:r>
          </w:p>
        </w:tc>
        <w:tc>
          <w:tcPr>
            <w:tcW w:type="dxa" w:w="4032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自动分镜、分段生成、连续性控制、拼接与统一音轨</w:t>
            </w:r>
          </w:p>
        </w:tc>
        <w:tc>
          <w:tcPr>
            <w:tcW w:type="dxa" w:w="3384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30 秒以上或多镜头作品</w:t>
            </w:r>
          </w:p>
        </w:tc>
      </w:tr>
      <w:tr>
        <w:tc>
          <w:tcPr>
            <w:tcW w:type="dxa" w:w="194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生成新视频</w:t>
            </w:r>
          </w:p>
        </w:tc>
        <w:tc>
          <w:tcPr>
            <w:tcW w:type="dxa" w:w="403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Seedance 文生、首尾帧和多模态生成</w:t>
            </w:r>
          </w:p>
        </w:tc>
        <w:tc>
          <w:tcPr>
            <w:tcW w:type="dxa" w:w="338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5 至 15 秒短视频和测试样片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6.2 素材数量与模式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5"/>
        <w:gridCol w:w="3255"/>
        <w:gridCol w:w="3255"/>
      </w:tblGrid>
      <w:tr>
        <w:trPr>
          <w:tblHeader w:val="true"/>
        </w:trPr>
        <w:tc>
          <w:tcPr>
            <w:tcW w:type="dxa" w:w="1728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模式</w:t>
            </w:r>
          </w:p>
        </w:tc>
        <w:tc>
          <w:tcPr>
            <w:tcW w:type="dxa" w:w="2736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素材</w:t>
            </w:r>
          </w:p>
        </w:tc>
        <w:tc>
          <w:tcPr>
            <w:tcW w:type="dxa" w:w="4896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</w:t>
            </w:r>
          </w:p>
        </w:tc>
      </w:tr>
      <w:tr>
        <w:tc>
          <w:tcPr>
            <w:tcW w:type="dxa" w:w="172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文生视频</w:t>
            </w:r>
          </w:p>
        </w:tc>
        <w:tc>
          <w:tcPr>
            <w:tcW w:type="dxa" w:w="273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无需上传</w:t>
            </w:r>
          </w:p>
        </w:tc>
        <w:tc>
          <w:tcPr>
            <w:tcW w:type="dxa" w:w="489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描述主体、动作、镜头、场景、风格和声音</w:t>
            </w:r>
          </w:p>
        </w:tc>
      </w:tr>
      <w:tr>
        <w:tc>
          <w:tcPr>
            <w:tcW w:type="dxa" w:w="172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首帧/首尾帧</w:t>
            </w:r>
          </w:p>
        </w:tc>
        <w:tc>
          <w:tcPr>
            <w:tcW w:type="dxa" w:w="273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1 至 2 张图</w:t>
            </w:r>
          </w:p>
        </w:tc>
        <w:tc>
          <w:tcPr>
            <w:tcW w:type="dxa" w:w="489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适合控制起止画面；15 秒成本通常低于多图模式</w:t>
            </w:r>
          </w:p>
        </w:tc>
      </w:tr>
      <w:tr>
        <w:tc>
          <w:tcPr>
            <w:tcW w:type="dxa" w:w="172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多模态</w:t>
            </w:r>
          </w:p>
        </w:tc>
        <w:tc>
          <w:tcPr>
            <w:tcW w:type="dxa" w:w="273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最多 9 图、3 音频、3 视频</w:t>
            </w:r>
          </w:p>
        </w:tc>
        <w:tc>
          <w:tcPr>
            <w:tcW w:type="dxa" w:w="489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先用 3 至 5 张图测试；6 张以上改用长视频更稳</w:t>
            </w:r>
          </w:p>
        </w:tc>
      </w:tr>
      <w:tr>
        <w:tc>
          <w:tcPr>
            <w:tcW w:type="dxa" w:w="172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长视频</w:t>
            </w:r>
          </w:p>
        </w:tc>
        <w:tc>
          <w:tcPr>
            <w:tcW w:type="dxa" w:w="273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主体参考图 + 可选统一音轨</w:t>
            </w:r>
          </w:p>
        </w:tc>
        <w:tc>
          <w:tcPr>
            <w:tcW w:type="dxa" w:w="489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分镜逐段生成，失败只重做对应镜头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6.3 生成与计费</w:t>
      </w:r>
    </w:p>
    <w:p>
      <w:pPr>
        <w:pStyle w:val="ListBullet"/>
      </w:pPr>
      <w:r>
        <w:rPr>
          <w:rFonts w:ascii="Microsoft YaHei" w:hAnsi="Microsoft YaHei" w:eastAsia="Microsoft YaHei"/>
        </w:rPr>
        <w:t>提交前先完成生成前体检。分辨率、时长、视频输入、声音和素材数量都会影响费用。</w:t>
      </w:r>
    </w:p>
    <w:p>
      <w:pPr>
        <w:pStyle w:val="ListBullet"/>
      </w:pPr>
      <w:r>
        <w:rPr>
          <w:rFonts w:ascii="Microsoft YaHei" w:hAnsi="Microsoft YaHei" w:eastAsia="Microsoft YaHei"/>
        </w:rPr>
        <w:t>费用先预留，成功后按实际 Token 与线路结算；失败且无有效结果时释放预留金额。</w:t>
      </w:r>
    </w:p>
    <w:p>
      <w:pPr>
        <w:pStyle w:val="ListBullet"/>
      </w:pPr>
      <w:r>
        <w:rPr>
          <w:rFonts w:ascii="Microsoft YaHei" w:hAnsi="Microsoft YaHei" w:eastAsia="Microsoft YaHei"/>
        </w:rPr>
        <w:t>多图并不等于更好。同一人物图片过多会增加特征冲突；企业宣传视频建议先做 3 图 10 至 15 秒小样。</w:t>
      </w:r>
    </w:p>
    <w:p>
      <w:pPr>
        <w:pStyle w:val="ListBullet"/>
      </w:pPr>
      <w:r>
        <w:rPr>
          <w:rFonts w:ascii="Microsoft YaHei" w:hAnsi="Microsoft YaHei" w:eastAsia="Microsoft YaHei"/>
        </w:rPr>
        <w:t>完工后可进入后期编辑，处理镜头顺序、字幕、中文配音、背景音乐、音量和简单裁切。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32"/>
      </w:tblGrid>
      <w:tr>
        <w:tc>
          <w:tcPr>
            <w:tcW w:type="dxa" w:w="9764"/>
            <w:shd w:fill="FFF5D9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B78620"/>
                <w:sz w:val="21"/>
              </w:rPr>
              <w:t>真人与版权素材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color w:val="172B27"/>
                <w:sz w:val="19"/>
              </w:rPr>
              <w:t>使用真人照片、声音、商标、音乐、视频片段前应取得相应授权。可识别真人可能需要供应商可信人像认证；不要以规避审核为目标修改提示词。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7. 企业协作</w:t>
      </w:r>
    </w:p>
    <w:p>
      <w:r>
        <w:rPr>
          <w:rFonts w:ascii="Microsoft YaHei" w:hAnsi="Microsoft YaHei" w:eastAsia="Microsoft YaHei"/>
        </w:rPr>
        <w:t>企业所有者负责创建组织、邀请成员、分配角色和管理席位。当前企业组织默认最多 10 个席位，具体上限可按合同调整。</w:t>
      </w:r>
    </w:p>
    <w:p>
      <w:pPr>
        <w:pStyle w:val="Heading2"/>
        <w:keepNext/>
      </w:pPr>
      <w:r>
        <w:t>7.1 角色与职责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5"/>
        <w:gridCol w:w="3255"/>
        <w:gridCol w:w="3255"/>
      </w:tblGrid>
      <w:tr>
        <w:trPr>
          <w:tblHeader w:val="true"/>
        </w:trPr>
        <w:tc>
          <w:tcPr>
            <w:tcW w:type="dxa" w:w="1440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角色</w:t>
            </w:r>
          </w:p>
        </w:tc>
        <w:tc>
          <w:tcPr>
            <w:tcW w:type="dxa" w:w="4536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主要职责</w:t>
            </w:r>
          </w:p>
        </w:tc>
        <w:tc>
          <w:tcPr>
            <w:tcW w:type="dxa" w:w="3384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建议人员</w:t>
            </w:r>
          </w:p>
        </w:tc>
      </w:tr>
      <w:tr>
        <w:tc>
          <w:tcPr>
            <w:tcW w:type="dxa" w:w="144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所有者</w:t>
            </w:r>
          </w:p>
        </w:tc>
        <w:tc>
          <w:tcPr>
            <w:tcW w:type="dxa" w:w="453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组织、成员、关键配置和最终责任</w:t>
            </w:r>
          </w:p>
        </w:tc>
        <w:tc>
          <w:tcPr>
            <w:tcW w:type="dxa" w:w="338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企业负责人</w:t>
            </w:r>
          </w:p>
        </w:tc>
      </w:tr>
      <w:tr>
        <w:tc>
          <w:tcPr>
            <w:tcW w:type="dxa" w:w="144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管理员</w:t>
            </w:r>
          </w:p>
        </w:tc>
        <w:tc>
          <w:tcPr>
            <w:tcW w:type="dxa" w:w="453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成员与日常配置管理</w:t>
            </w:r>
          </w:p>
        </w:tc>
        <w:tc>
          <w:tcPr>
            <w:tcW w:type="dxa" w:w="3384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项目运营负责人</w:t>
            </w:r>
          </w:p>
        </w:tc>
      </w:tr>
      <w:tr>
        <w:tc>
          <w:tcPr>
            <w:tcW w:type="dxa" w:w="144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财务</w:t>
            </w:r>
          </w:p>
        </w:tc>
        <w:tc>
          <w:tcPr>
            <w:tcW w:type="dxa" w:w="453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充值、预算、账单和对账</w:t>
            </w:r>
          </w:p>
        </w:tc>
        <w:tc>
          <w:tcPr>
            <w:tcW w:type="dxa" w:w="338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财务人员</w:t>
            </w:r>
          </w:p>
        </w:tc>
      </w:tr>
      <w:tr>
        <w:tc>
          <w:tcPr>
            <w:tcW w:type="dxa" w:w="144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审核员</w:t>
            </w:r>
          </w:p>
        </w:tc>
        <w:tc>
          <w:tcPr>
            <w:tcW w:type="dxa" w:w="453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内容复核、质量门和交付批准</w:t>
            </w:r>
          </w:p>
        </w:tc>
        <w:tc>
          <w:tcPr>
            <w:tcW w:type="dxa" w:w="3384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品牌/法务/专业负责人</w:t>
            </w:r>
          </w:p>
        </w:tc>
      </w:tr>
      <w:tr>
        <w:tc>
          <w:tcPr>
            <w:tcW w:type="dxa" w:w="144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创作者</w:t>
            </w:r>
          </w:p>
        </w:tc>
        <w:tc>
          <w:tcPr>
            <w:tcW w:type="dxa" w:w="453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模型、视频和素材生产</w:t>
            </w:r>
          </w:p>
        </w:tc>
        <w:tc>
          <w:tcPr>
            <w:tcW w:type="dxa" w:w="3384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策划、设计、运营</w:t>
            </w:r>
          </w:p>
        </w:tc>
      </w:tr>
      <w:tr>
        <w:tc>
          <w:tcPr>
            <w:tcW w:type="dxa" w:w="144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查看者</w:t>
            </w:r>
          </w:p>
        </w:tc>
        <w:tc>
          <w:tcPr>
            <w:tcW w:type="dxa" w:w="453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查看项目和结果，不执行关键操作</w:t>
            </w:r>
          </w:p>
        </w:tc>
        <w:tc>
          <w:tcPr>
            <w:tcW w:type="dxa" w:w="3384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客户或管理层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7.2 企业上线检查</w:t>
      </w:r>
    </w:p>
    <w:p>
      <w:pPr>
        <w:pStyle w:val="ListBullet"/>
      </w:pPr>
      <w:r>
        <w:rPr>
          <w:rFonts w:ascii="Microsoft YaHei" w:hAnsi="Microsoft YaHei" w:eastAsia="Microsoft YaHei"/>
        </w:rPr>
        <w:t>为所有成员使用实名工作邮箱，不共享账号。</w:t>
      </w:r>
    </w:p>
    <w:p>
      <w:pPr>
        <w:pStyle w:val="ListBullet"/>
      </w:pPr>
      <w:r>
        <w:rPr>
          <w:rFonts w:ascii="Microsoft YaHei" w:hAnsi="Microsoft YaHei" w:eastAsia="Microsoft YaHei"/>
        </w:rPr>
        <w:t>按最小权限分配角色；充值、审核、创建和导出尽量由不同人员承担。</w:t>
      </w:r>
    </w:p>
    <w:p>
      <w:pPr>
        <w:pStyle w:val="ListBullet"/>
      </w:pPr>
      <w:r>
        <w:rPr>
          <w:rFonts w:ascii="Microsoft YaHei" w:hAnsi="Microsoft YaHei" w:eastAsia="Microsoft YaHei"/>
        </w:rPr>
        <w:t>设置日预算、月预算与预警阈值，先用小额度完成试点。</w:t>
      </w:r>
    </w:p>
    <w:p>
      <w:pPr>
        <w:pStyle w:val="ListBullet"/>
      </w:pPr>
      <w:r>
        <w:rPr>
          <w:rFonts w:ascii="Microsoft YaHei" w:hAnsi="Microsoft YaHei" w:eastAsia="Microsoft YaHei"/>
        </w:rPr>
        <w:t>建立品牌资产、专业资料、客户数据和视频素材的授权清单。</w:t>
      </w:r>
    </w:p>
    <w:p>
      <w:pPr>
        <w:pStyle w:val="ListBullet"/>
      </w:pPr>
      <w:r>
        <w:rPr>
          <w:rFonts w:ascii="Microsoft YaHei" w:hAnsi="Microsoft YaHei" w:eastAsia="Microsoft YaHei"/>
        </w:rPr>
        <w:t>每月导出账单，抽查高成本任务、失败任务和异常路由。</w:t>
      </w:r>
    </w:p>
    <w:p>
      <w:pPr>
        <w:pStyle w:val="Heading1"/>
        <w:keepNext/>
      </w:pPr>
      <w:r>
        <w:t>8. 售后与故障排查</w:t>
      </w:r>
    </w:p>
    <w:p>
      <w:pPr>
        <w:pStyle w:val="Heading2"/>
        <w:keepNext/>
      </w:pPr>
      <w:r>
        <w:t>8.1 如何提交有效工单</w:t>
      </w:r>
    </w:p>
    <w:p>
      <w:pPr>
        <w:pStyle w:val="ListBullet"/>
      </w:pPr>
      <w:r>
        <w:rPr>
          <w:rFonts w:ascii="Microsoft YaHei" w:hAnsi="Microsoft YaHei" w:eastAsia="Microsoft YaHei"/>
        </w:rPr>
        <w:t>入口：工作台左下角“客户服务与账单”→“售后工单”→“新建工单”。</w:t>
      </w:r>
    </w:p>
    <w:p>
      <w:pPr>
        <w:pStyle w:val="ListBullet"/>
      </w:pPr>
      <w:r>
        <w:rPr>
          <w:rFonts w:ascii="Microsoft YaHei" w:hAnsi="Microsoft YaHei" w:eastAsia="Microsoft YaHei"/>
        </w:rPr>
        <w:t>提供发生时间、模块、项目/订单编号、错误编号、操作步骤和期望结果。</w:t>
      </w:r>
    </w:p>
    <w:p>
      <w:pPr>
        <w:pStyle w:val="ListBullet"/>
      </w:pPr>
      <w:r>
        <w:rPr>
          <w:rFonts w:ascii="Microsoft YaHei" w:hAnsi="Microsoft YaHei" w:eastAsia="Microsoft YaHei"/>
        </w:rPr>
        <w:t>可以附脱敏截图，但不要提交密码、验证码、完整 API Key 或未授权敏感资料。</w:t>
      </w:r>
    </w:p>
    <w:p>
      <w:pPr>
        <w:pStyle w:val="Heading2"/>
        <w:keepNext/>
      </w:pPr>
      <w:r>
        <w:t>8.2 常见问题速查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5"/>
        <w:gridCol w:w="3255"/>
        <w:gridCol w:w="3255"/>
      </w:tblGrid>
      <w:tr>
        <w:trPr>
          <w:tblHeader w:val="true"/>
        </w:trPr>
        <w:tc>
          <w:tcPr>
            <w:tcW w:type="dxa" w:w="2232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现象</w:t>
            </w:r>
          </w:p>
        </w:tc>
        <w:tc>
          <w:tcPr>
            <w:tcW w:type="dxa" w:w="3672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先检查</w:t>
            </w:r>
          </w:p>
        </w:tc>
        <w:tc>
          <w:tcPr>
            <w:tcW w:type="dxa" w:w="3456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下一步</w:t>
            </w:r>
          </w:p>
        </w:tc>
      </w:tr>
      <w:tr>
        <w:tc>
          <w:tcPr>
            <w:tcW w:type="dxa" w:w="223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401 / 未授权</w:t>
            </w:r>
          </w:p>
        </w:tc>
        <w:tc>
          <w:tcPr>
            <w:tcW w:type="dxa" w:w="367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登录状态、API Key 是否有效</w:t>
            </w:r>
          </w:p>
        </w:tc>
        <w:tc>
          <w:tcPr>
            <w:tcW w:type="dxa" w:w="345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重新登录或重建 Key</w:t>
            </w:r>
          </w:p>
        </w:tc>
      </w:tr>
      <w:tr>
        <w:tc>
          <w:tcPr>
            <w:tcW w:type="dxa" w:w="2232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余额不足</w:t>
            </w:r>
          </w:p>
        </w:tc>
        <w:tc>
          <w:tcPr>
            <w:tcW w:type="dxa" w:w="3672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可用余额、冻结金额、日/月预算</w:t>
            </w:r>
          </w:p>
        </w:tc>
        <w:tc>
          <w:tcPr>
            <w:tcW w:type="dxa" w:w="345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充值或调整预算</w:t>
            </w:r>
          </w:p>
        </w:tc>
      </w:tr>
      <w:tr>
        <w:tc>
          <w:tcPr>
            <w:tcW w:type="dxa" w:w="223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模型暂不可用</w:t>
            </w:r>
          </w:p>
        </w:tc>
        <w:tc>
          <w:tcPr>
            <w:tcW w:type="dxa" w:w="367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线路状态、模型权限和路由回执</w:t>
            </w:r>
          </w:p>
        </w:tc>
        <w:tc>
          <w:tcPr>
            <w:tcW w:type="dxa" w:w="345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稍后重试或切换自动路由</w:t>
            </w:r>
          </w:p>
        </w:tc>
      </w:tr>
      <w:tr>
        <w:tc>
          <w:tcPr>
            <w:tcW w:type="dxa" w:w="2232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视频提示词被拦截</w:t>
            </w:r>
          </w:p>
        </w:tc>
        <w:tc>
          <w:tcPr>
            <w:tcW w:type="dxa" w:w="3672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人物授权、敏感内容、品牌和版权素材</w:t>
            </w:r>
          </w:p>
        </w:tc>
        <w:tc>
          <w:tcPr>
            <w:tcW w:type="dxa" w:w="345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按合规建议调整，不规避审核</w:t>
            </w:r>
          </w:p>
        </w:tc>
      </w:tr>
      <w:tr>
        <w:tc>
          <w:tcPr>
            <w:tcW w:type="dxa" w:w="223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视频失败无明确类型</w:t>
            </w:r>
          </w:p>
        </w:tc>
        <w:tc>
          <w:tcPr>
            <w:tcW w:type="dxa" w:w="367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保存错误编号和项目 ID</w:t>
            </w:r>
          </w:p>
        </w:tc>
        <w:tc>
          <w:tcPr>
            <w:tcW w:type="dxa" w:w="3456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不重复盲试，提交视频工单</w:t>
            </w:r>
          </w:p>
        </w:tc>
      </w:tr>
      <w:tr>
        <w:tc>
          <w:tcPr>
            <w:tcW w:type="dxa" w:w="2232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文档内容不准确</w:t>
            </w:r>
          </w:p>
        </w:tc>
        <w:tc>
          <w:tcPr>
            <w:tcW w:type="dxa" w:w="3672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输入资料、报告期、口径和模板是否匹配</w:t>
            </w:r>
          </w:p>
        </w:tc>
        <w:tc>
          <w:tcPr>
            <w:tcW w:type="dxa" w:w="3456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补资料后重生成并人工复核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64"/>
      </w:tblGrid>
      <w:tr>
        <w:tc>
          <w:tcPr>
            <w:tcW w:type="dxa" w:w="9764"/>
            <w:shd w:fill="063F37"/>
            <w:tcMar>
              <w:top w:w="360" w:type="dxa"/>
              <w:start w:w="420" w:type="dxa"/>
              <w:bottom w:w="360" w:type="dxa"/>
              <w:end w:w="42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FFFFFF"/>
                <w:sz w:val="42"/>
              </w:rPr>
              <w:t>把第一次成果变成可重复流程</w:t>
            </w:r>
          </w:p>
          <w:p>
            <w:r>
              <w:rPr>
                <w:rFonts w:ascii="Microsoft YaHei" w:hAnsi="Microsoft YaHei" w:eastAsia="Microsoft YaHei"/>
                <w:color w:val="D4EEE8"/>
                <w:sz w:val="22"/>
              </w:rPr>
              <w:t>演示体验：longteng.digitalqibo.com/demo</w:t>
            </w:r>
          </w:p>
          <w:p>
            <w:r>
              <w:rPr>
                <w:rFonts w:ascii="Microsoft YaHei" w:hAnsi="Microsoft YaHei" w:eastAsia="Microsoft YaHei"/>
                <w:color w:val="D4EEE8"/>
                <w:sz w:val="22"/>
              </w:rPr>
              <w:t>正式工作台：longteng.digitalqibo.com/console</w:t>
            </w:r>
          </w:p>
          <w:p>
            <w:r>
              <w:rPr>
                <w:rFonts w:ascii="Microsoft YaHei" w:hAnsi="Microsoft YaHei" w:eastAsia="Microsoft YaHei"/>
                <w:color w:val="B8DAD3"/>
                <w:sz w:val="20"/>
              </w:rPr>
              <w:t>遇到问题：工作台左下角 → 客户服务与账单 → 新建售后工单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23" w:right="1238" w:bottom="1037" w:left="12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F756F"/>
        <w:sz w:val="16"/>
      </w:rPr>
      <w:t xml:space="preserve">longteng.digitalqibo.com  ·  第 </w:t>
    </w:r>
    <w:r>
      <w:fldChar w:fldCharType="begin"/>
      <w:instrText xml:space="preserve">PAGE</w:instrText>
      <w:fldChar w:fldCharType="separate"/>
      <w:fldChar w:fldCharType="end"/>
    </w:r>
    <w:r>
      <w:rPr>
        <w:rFonts w:ascii="Microsoft YaHei" w:hAnsi="Microsoft YaHei" w:eastAsia="Microsoft YaHei"/>
        <w:color w:val="5F756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6" w:color="D5E3E0" w:space="4"/>
      </w:pBdr>
    </w:pPr>
    <w:r>
      <w:rPr>
        <w:rFonts w:ascii="Microsoft YaHei" w:hAnsi="Microsoft YaHei" w:eastAsia="Microsoft YaHei"/>
        <w:b/>
        <w:color w:val="087C68"/>
        <w:sz w:val="18"/>
      </w:rPr>
      <w:t>LT  龙腾壹号</w:t>
    </w:r>
    <w:r>
      <w:rPr>
        <w:rFonts w:ascii="Microsoft YaHei" w:hAnsi="Microsoft YaHei" w:eastAsia="Microsoft YaHei"/>
        <w:color w:val="5F756F"/>
        <w:sz w:val="16"/>
      </w:rPr>
      <w:t xml:space="preserve">  |  用户学习中心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Microsoft YaHei" w:hAnsi="Microsoft YaHei" w:eastAsia="Microsoft YaHei"/>
      <w:color w:val="172B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8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63F3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87C6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63F3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63F37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369" w:hanging="198"/>
      <w:contextualSpacing/>
    </w:pPr>
    <w:rPr>
      <w:rFonts w:ascii="Microsoft YaHei" w:hAnsi="Microsoft YaHei" w:eastAsia="Microsoft YaHe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ind w:left="369" w:hanging="198"/>
      <w:contextualSpacing/>
    </w:pPr>
    <w:rPr>
      <w:rFonts w:ascii="Microsoft YaHei" w:hAnsi="Microsoft YaHei" w:eastAsia="Microsoft YaHei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